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84" w:type="dxa"/>
        <w:tblInd w:w="137" w:type="dxa"/>
        <w:tblLook w:val="04A0" w:firstRow="1" w:lastRow="0" w:firstColumn="1" w:lastColumn="0" w:noHBand="0" w:noVBand="1"/>
      </w:tblPr>
      <w:tblGrid>
        <w:gridCol w:w="14884"/>
      </w:tblGrid>
      <w:tr w:rsidR="000D58D4" w:rsidRPr="00770D6A" w:rsidTr="00F256E2">
        <w:trPr>
          <w:trHeight w:val="2007"/>
        </w:trPr>
        <w:tc>
          <w:tcPr>
            <w:tcW w:w="14884" w:type="dxa"/>
            <w:shd w:val="clear" w:color="auto" w:fill="D6E3BC" w:themeFill="accent3" w:themeFillTint="66"/>
            <w:vAlign w:val="center"/>
          </w:tcPr>
          <w:p w:rsidR="00952490" w:rsidRPr="00770D6A" w:rsidRDefault="00FD43BF" w:rsidP="00E5495E">
            <w:pPr>
              <w:tabs>
                <w:tab w:val="left" w:pos="10632"/>
              </w:tabs>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Справка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отразяване</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постъпилите</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предложения</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и</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възражения</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в</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процеса</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обществено</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обсъждане</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проект</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Заповед</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утвърждаване</w:t>
            </w:r>
            <w:r w:rsidR="0019606C" w:rsidRPr="00770D6A">
              <w:rPr>
                <w:rFonts w:ascii="Times New Roman" w:hAnsi="Times New Roman" w:cs="Times New Roman"/>
                <w:b/>
                <w:sz w:val="24"/>
                <w:szCs w:val="24"/>
              </w:rPr>
              <w:t xml:space="preserve"> </w:t>
            </w:r>
            <w:r w:rsidR="00754B14"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Насоки</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кандидатстване</w:t>
            </w:r>
            <w:r w:rsidR="0019606C" w:rsidRPr="00770D6A">
              <w:rPr>
                <w:rFonts w:ascii="Times New Roman" w:hAnsi="Times New Roman" w:cs="Times New Roman"/>
                <w:b/>
                <w:sz w:val="24"/>
                <w:szCs w:val="24"/>
              </w:rPr>
              <w:t xml:space="preserve"> </w:t>
            </w:r>
            <w:r w:rsidR="00E97880"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E97880" w:rsidRPr="00770D6A">
              <w:rPr>
                <w:rFonts w:ascii="Times New Roman" w:hAnsi="Times New Roman" w:cs="Times New Roman"/>
                <w:b/>
                <w:sz w:val="24"/>
                <w:szCs w:val="24"/>
              </w:rPr>
              <w:t>п</w:t>
            </w:r>
            <w:r w:rsidR="005768F3" w:rsidRPr="00770D6A">
              <w:rPr>
                <w:rFonts w:ascii="Times New Roman" w:hAnsi="Times New Roman" w:cs="Times New Roman"/>
                <w:b/>
                <w:sz w:val="24"/>
                <w:szCs w:val="24"/>
              </w:rPr>
              <w:t>рием</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заявления</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подпомагане</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по</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интервенция</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II.Г.</w:t>
            </w:r>
            <w:r w:rsidR="007E3279" w:rsidRPr="00770D6A">
              <w:rPr>
                <w:rFonts w:ascii="Times New Roman" w:hAnsi="Times New Roman" w:cs="Times New Roman"/>
                <w:b/>
                <w:sz w:val="24"/>
                <w:szCs w:val="24"/>
              </w:rPr>
              <w:t>1</w:t>
            </w:r>
            <w:r w:rsidR="005D3329" w:rsidRPr="00770D6A">
              <w:rPr>
                <w:rFonts w:ascii="Times New Roman" w:hAnsi="Times New Roman" w:cs="Times New Roman"/>
                <w:b/>
                <w:sz w:val="24"/>
                <w:szCs w:val="24"/>
              </w:rPr>
              <w:t>.1</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w:t>
            </w:r>
            <w:r w:rsidR="00F256E2" w:rsidRPr="00770D6A">
              <w:rPr>
                <w:rFonts w:ascii="Times New Roman" w:hAnsi="Times New Roman" w:cs="Times New Roman"/>
                <w:b/>
                <w:sz w:val="24"/>
                <w:szCs w:val="24"/>
              </w:rPr>
              <w:t>Инвестиции в земеделските стопанства насочени към опазване на компонентите на околната среда</w:t>
            </w:r>
            <w:r w:rsidR="005768F3" w:rsidRPr="00770D6A">
              <w:rPr>
                <w:rFonts w:ascii="Times New Roman" w:hAnsi="Times New Roman" w:cs="Times New Roman"/>
                <w:b/>
                <w:sz w:val="24"/>
                <w:szCs w:val="24"/>
              </w:rPr>
              <w:t>“</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от</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Стратегическия</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план</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развитие</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земеделието</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и</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селските</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райони</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Република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България</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за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периода</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2023-2027</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г.</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ПРИЕМ</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w:t>
            </w:r>
            <w:r w:rsidR="0019606C" w:rsidRPr="00770D6A">
              <w:rPr>
                <w:rFonts w:ascii="Times New Roman" w:hAnsi="Times New Roman" w:cs="Times New Roman"/>
                <w:b/>
                <w:sz w:val="24"/>
                <w:szCs w:val="24"/>
              </w:rPr>
              <w:t xml:space="preserve"> </w:t>
            </w:r>
            <w:r w:rsidR="005768F3" w:rsidRPr="00770D6A">
              <w:rPr>
                <w:rFonts w:ascii="Times New Roman" w:hAnsi="Times New Roman" w:cs="Times New Roman"/>
                <w:b/>
                <w:sz w:val="24"/>
                <w:szCs w:val="24"/>
              </w:rPr>
              <w:t>II/Г/</w:t>
            </w:r>
            <w:r w:rsidR="007E3279" w:rsidRPr="00770D6A">
              <w:rPr>
                <w:rFonts w:ascii="Times New Roman" w:hAnsi="Times New Roman" w:cs="Times New Roman"/>
                <w:b/>
                <w:sz w:val="24"/>
                <w:szCs w:val="24"/>
              </w:rPr>
              <w:t>1</w:t>
            </w:r>
            <w:r w:rsidR="005768F3" w:rsidRPr="00770D6A">
              <w:rPr>
                <w:rFonts w:ascii="Times New Roman" w:hAnsi="Times New Roman" w:cs="Times New Roman"/>
                <w:b/>
                <w:sz w:val="24"/>
                <w:szCs w:val="24"/>
              </w:rPr>
              <w:t>/</w:t>
            </w:r>
            <w:r w:rsidR="00F256E2" w:rsidRPr="00770D6A">
              <w:rPr>
                <w:rFonts w:ascii="Times New Roman" w:hAnsi="Times New Roman" w:cs="Times New Roman"/>
                <w:b/>
                <w:sz w:val="24"/>
                <w:szCs w:val="24"/>
              </w:rPr>
              <w:t>1</w:t>
            </w:r>
            <w:r w:rsidR="005768F3" w:rsidRPr="00770D6A">
              <w:rPr>
                <w:rFonts w:ascii="Times New Roman" w:hAnsi="Times New Roman" w:cs="Times New Roman"/>
                <w:b/>
                <w:sz w:val="24"/>
                <w:szCs w:val="24"/>
              </w:rPr>
              <w:t>/1</w:t>
            </w:r>
          </w:p>
        </w:tc>
      </w:tr>
    </w:tbl>
    <w:p w:rsidR="000D58D4" w:rsidRPr="00770D6A" w:rsidRDefault="000D58D4" w:rsidP="00E5495E">
      <w:pPr>
        <w:tabs>
          <w:tab w:val="left" w:pos="10632"/>
        </w:tabs>
        <w:spacing w:after="0"/>
        <w:contextualSpacing/>
        <w:jc w:val="both"/>
        <w:rPr>
          <w:rFonts w:ascii="Times New Roman" w:hAnsi="Times New Roman" w:cs="Times New Roman"/>
          <w:sz w:val="24"/>
          <w:szCs w:val="24"/>
        </w:rPr>
      </w:pPr>
    </w:p>
    <w:tbl>
      <w:tblPr>
        <w:tblStyle w:val="TableGrid"/>
        <w:tblW w:w="14912" w:type="dxa"/>
        <w:tblInd w:w="137" w:type="dxa"/>
        <w:tblLayout w:type="fixed"/>
        <w:tblLook w:val="04A0" w:firstRow="1" w:lastRow="0" w:firstColumn="1" w:lastColumn="0" w:noHBand="0" w:noVBand="1"/>
      </w:tblPr>
      <w:tblGrid>
        <w:gridCol w:w="567"/>
        <w:gridCol w:w="1559"/>
        <w:gridCol w:w="1588"/>
        <w:gridCol w:w="5599"/>
        <w:gridCol w:w="5599"/>
      </w:tblGrid>
      <w:tr w:rsidR="002D3C14" w:rsidRPr="00770D6A" w:rsidTr="00ED5BBF">
        <w:tc>
          <w:tcPr>
            <w:tcW w:w="567" w:type="dxa"/>
            <w:shd w:val="clear" w:color="auto" w:fill="D6E3BC" w:themeFill="accent3" w:themeFillTint="66"/>
          </w:tcPr>
          <w:p w:rsidR="00851AE2" w:rsidRPr="00770D6A" w:rsidRDefault="00851AE2" w:rsidP="00E5495E">
            <w:pPr>
              <w:tabs>
                <w:tab w:val="left" w:pos="10632"/>
              </w:tabs>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w:t>
            </w:r>
          </w:p>
        </w:tc>
        <w:tc>
          <w:tcPr>
            <w:tcW w:w="1559" w:type="dxa"/>
            <w:shd w:val="clear" w:color="auto" w:fill="D6E3BC" w:themeFill="accent3" w:themeFillTint="66"/>
          </w:tcPr>
          <w:p w:rsidR="00851AE2" w:rsidRPr="00770D6A" w:rsidRDefault="00851AE2" w:rsidP="00E5495E">
            <w:pPr>
              <w:tabs>
                <w:tab w:val="left" w:pos="10632"/>
              </w:tabs>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Данни</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подателя</w:t>
            </w:r>
          </w:p>
        </w:tc>
        <w:tc>
          <w:tcPr>
            <w:tcW w:w="1588" w:type="dxa"/>
            <w:shd w:val="clear" w:color="auto" w:fill="D6E3BC" w:themeFill="accent3" w:themeFillTint="66"/>
          </w:tcPr>
          <w:p w:rsidR="00851AE2" w:rsidRPr="00770D6A" w:rsidRDefault="00851AE2" w:rsidP="00E5495E">
            <w:pPr>
              <w:tabs>
                <w:tab w:val="left" w:pos="10632"/>
              </w:tabs>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Дата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получаване</w:t>
            </w:r>
          </w:p>
        </w:tc>
        <w:tc>
          <w:tcPr>
            <w:tcW w:w="5599" w:type="dxa"/>
            <w:shd w:val="clear" w:color="auto" w:fill="D6E3BC" w:themeFill="accent3" w:themeFillTint="66"/>
          </w:tcPr>
          <w:p w:rsidR="00851AE2" w:rsidRPr="00770D6A" w:rsidRDefault="00851AE2" w:rsidP="00E5495E">
            <w:pPr>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Коментар/Предложение</w:t>
            </w:r>
          </w:p>
        </w:tc>
        <w:tc>
          <w:tcPr>
            <w:tcW w:w="5599" w:type="dxa"/>
            <w:shd w:val="clear" w:color="auto" w:fill="D6E3BC" w:themeFill="accent3" w:themeFillTint="66"/>
          </w:tcPr>
          <w:p w:rsidR="00851AE2" w:rsidRPr="00770D6A" w:rsidRDefault="00031569" w:rsidP="00E5495E">
            <w:pPr>
              <w:spacing w:line="276" w:lineRule="auto"/>
              <w:jc w:val="center"/>
              <w:rPr>
                <w:rFonts w:ascii="Times New Roman" w:hAnsi="Times New Roman" w:cs="Times New Roman"/>
                <w:b/>
                <w:sz w:val="24"/>
                <w:szCs w:val="24"/>
              </w:rPr>
            </w:pPr>
            <w:r w:rsidRPr="00770D6A">
              <w:rPr>
                <w:rFonts w:ascii="Times New Roman" w:hAnsi="Times New Roman" w:cs="Times New Roman"/>
                <w:b/>
                <w:sz w:val="24"/>
                <w:szCs w:val="24"/>
              </w:rPr>
              <w:t>Становище</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УО</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на</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СП</w:t>
            </w:r>
            <w:r w:rsidR="00851AE2" w:rsidRPr="00770D6A">
              <w:rPr>
                <w:rFonts w:ascii="Times New Roman" w:hAnsi="Times New Roman" w:cs="Times New Roman"/>
                <w:b/>
                <w:sz w:val="24"/>
                <w:szCs w:val="24"/>
              </w:rPr>
              <w:t>Р</w:t>
            </w:r>
            <w:r w:rsidR="000F4C28" w:rsidRPr="00770D6A">
              <w:rPr>
                <w:rFonts w:ascii="Times New Roman" w:hAnsi="Times New Roman" w:cs="Times New Roman"/>
                <w:b/>
                <w:sz w:val="24"/>
                <w:szCs w:val="24"/>
              </w:rPr>
              <w:t>З</w:t>
            </w:r>
            <w:r w:rsidR="00851AE2" w:rsidRPr="00770D6A">
              <w:rPr>
                <w:rFonts w:ascii="Times New Roman" w:hAnsi="Times New Roman" w:cs="Times New Roman"/>
                <w:b/>
                <w:sz w:val="24"/>
                <w:szCs w:val="24"/>
              </w:rPr>
              <w:t>СР</w:t>
            </w:r>
          </w:p>
        </w:tc>
      </w:tr>
      <w:tr w:rsidR="007F4E15" w:rsidRPr="00770D6A" w:rsidTr="005D3329">
        <w:trPr>
          <w:trHeight w:val="4017"/>
        </w:trPr>
        <w:tc>
          <w:tcPr>
            <w:tcW w:w="567" w:type="dxa"/>
            <w:shd w:val="clear" w:color="auto" w:fill="auto"/>
          </w:tcPr>
          <w:p w:rsidR="007F4E15" w:rsidRPr="00770D6A" w:rsidRDefault="00F256E2" w:rsidP="00E5495E">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w:t>
            </w:r>
            <w:r w:rsidR="007F4E15" w:rsidRPr="00770D6A">
              <w:rPr>
                <w:rFonts w:ascii="Times New Roman" w:hAnsi="Times New Roman" w:cs="Times New Roman"/>
                <w:sz w:val="24"/>
                <w:szCs w:val="24"/>
              </w:rPr>
              <w:t>.</w:t>
            </w:r>
          </w:p>
        </w:tc>
        <w:tc>
          <w:tcPr>
            <w:tcW w:w="1559" w:type="dxa"/>
            <w:shd w:val="clear" w:color="auto" w:fill="auto"/>
          </w:tcPr>
          <w:p w:rsidR="007F4E15" w:rsidRPr="00770D6A" w:rsidRDefault="007F4E15" w:rsidP="00E5495E">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Димитров</w:t>
            </w:r>
          </w:p>
        </w:tc>
        <w:tc>
          <w:tcPr>
            <w:tcW w:w="1588" w:type="dxa"/>
            <w:shd w:val="clear" w:color="auto" w:fill="auto"/>
          </w:tcPr>
          <w:p w:rsidR="007F4E15" w:rsidRPr="00770D6A" w:rsidRDefault="007F4E15" w:rsidP="00E5495E">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20.10.2025</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г.</w:t>
            </w:r>
          </w:p>
          <w:p w:rsidR="00D62484" w:rsidRPr="00770D6A" w:rsidRDefault="00D62484" w:rsidP="00E5495E">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10:39</w:t>
            </w:r>
          </w:p>
        </w:tc>
        <w:tc>
          <w:tcPr>
            <w:tcW w:w="5599" w:type="dxa"/>
            <w:shd w:val="clear" w:color="auto" w:fill="auto"/>
          </w:tcPr>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Уважаеми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Г-н/Г-жо,</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връзка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публикувани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обществено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обсъждане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интервенции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II.Г.1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II.Г.1.1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предлагам</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изменение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условията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кандидатстване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интервенция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II.Г.1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„Инвестиции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земеделските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стопанства“</w:t>
            </w:r>
            <w:r w:rsidR="0019606C"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По</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отношение</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на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критерий</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за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подбор</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5.5</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(Раздел</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11,</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т.</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11):</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Предлагам</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изключване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списъка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BG06RDNP001-4.008,</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BG06RDNP001-4.012</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вземат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предвид</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присъждане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5.5</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подпомагани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подмярка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4.1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ПРСР“,</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осигури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равен</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достъп</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По</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отношение</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на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критерий</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за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подбор</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5.5</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(Раздел</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11,</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т.</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11):</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Предлагам</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изключване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списъка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BG06RDNP001-4.008,</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BG06RDNP001-4.012</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вземат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предвид</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присъждане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5.5</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подпомагани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подмярка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4.1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ПРСР“.</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Допълнително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предлагам</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добавяне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че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участвали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кандидатстват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разходи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интервенция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II.Г.1,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получават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точки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5.5.</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Обосновка:</w:t>
            </w:r>
          </w:p>
          <w:p w:rsidR="007F4E15" w:rsidRPr="00770D6A" w:rsidRDefault="007F4E15" w:rsidP="00E5495E">
            <w:pPr>
              <w:numPr>
                <w:ilvl w:val="0"/>
                <w:numId w:val="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Гарантира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равнопоставеност: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специализиран</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прием,</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ограничен</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изключително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инвестиции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го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прави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значително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по-ограничен</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обхват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спрямо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общите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инвестиции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подмярка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4.1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(напр.</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модернизация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техника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или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сгради),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включването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му</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5.5</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несправедливо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лишава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получили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подпомагане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точки.</w:t>
            </w:r>
          </w:p>
          <w:p w:rsidR="007F4E15" w:rsidRPr="00770D6A" w:rsidRDefault="007F4E15" w:rsidP="00E5495E">
            <w:pPr>
              <w:numPr>
                <w:ilvl w:val="0"/>
                <w:numId w:val="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Подкрепи</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целите</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на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интервенцията: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Изключването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добавянето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че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кандидатстват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разходи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II.Г.1,</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получават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точки,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ще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насърчи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по-широк</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кръг</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участват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приема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модернизация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разширяване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производството,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същевременно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предотврати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дублиране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подпомагане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сходни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инвестиции,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подкрепяйки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специфична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цел</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SO2</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(конкурентоспособност)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междуведомствена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цел</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XCO</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(цифровизация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иновации).</w:t>
            </w:r>
          </w:p>
          <w:p w:rsidR="007F4E15" w:rsidRPr="00770D6A" w:rsidRDefault="007F4E15" w:rsidP="00E5495E">
            <w:pPr>
              <w:numPr>
                <w:ilvl w:val="0"/>
                <w:numId w:val="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Осигурява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логична</w:t>
            </w:r>
            <w:r w:rsidR="0019606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последователност: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Включването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процедура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BG06RDNP001-4.017,</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която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целева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ограничена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инвестиции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5.5</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създава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неравностойно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третиране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спрямо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тези,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които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участвали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специализирани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приеми,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предложеното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некласиране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заявления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разходи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напояване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тези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ще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осигури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справедливо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разпределение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приоритетните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точки.</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Моля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разгледате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предложението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го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включите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в</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окончателните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кандидатстване,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осигури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по-справедливо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класиране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по-ефективно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изпълнение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целите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интервенцията.</w:t>
            </w:r>
          </w:p>
        </w:tc>
        <w:tc>
          <w:tcPr>
            <w:tcW w:w="5599" w:type="dxa"/>
            <w:shd w:val="clear" w:color="auto" w:fill="auto"/>
          </w:tcPr>
          <w:p w:rsidR="007F4E15" w:rsidRPr="00770D6A" w:rsidRDefault="007F4E15" w:rsidP="00E5495E">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се</w:t>
            </w:r>
            <w:r w:rsidR="0019606C" w:rsidRPr="00770D6A">
              <w:rPr>
                <w:rFonts w:ascii="Times New Roman" w:hAnsi="Times New Roman" w:cs="Times New Roman"/>
                <w:b/>
                <w:sz w:val="24"/>
                <w:szCs w:val="24"/>
              </w:rPr>
              <w:t xml:space="preserve"> </w:t>
            </w:r>
            <w:r w:rsidRPr="00770D6A">
              <w:rPr>
                <w:rFonts w:ascii="Times New Roman" w:hAnsi="Times New Roman" w:cs="Times New Roman"/>
                <w:b/>
                <w:sz w:val="24"/>
                <w:szCs w:val="24"/>
              </w:rPr>
              <w:t>приема.</w:t>
            </w:r>
          </w:p>
          <w:p w:rsidR="00FF6934" w:rsidRPr="00770D6A" w:rsidRDefault="00F1597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Критериите за оценка </w:t>
            </w:r>
            <w:r w:rsidR="00FF6934"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разглеждани</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заседание</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Тематична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работна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група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641C73" w:rsidRPr="00770D6A">
              <w:rPr>
                <w:rFonts w:ascii="Times New Roman" w:hAnsi="Times New Roman" w:cs="Times New Roman"/>
                <w:sz w:val="24"/>
                <w:szCs w:val="24"/>
              </w:rPr>
              <w:t>14.08.2025</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г.</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приети</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заседание</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Комитета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наблюдение</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СПРЗСР</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на</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3-4</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септември</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2025</w:t>
            </w:r>
            <w:r w:rsidR="0019606C" w:rsidRPr="00770D6A">
              <w:rPr>
                <w:rFonts w:ascii="Times New Roman" w:hAnsi="Times New Roman" w:cs="Times New Roman"/>
                <w:sz w:val="24"/>
                <w:szCs w:val="24"/>
              </w:rPr>
              <w:t xml:space="preserve"> </w:t>
            </w:r>
            <w:r w:rsidR="00FF6934" w:rsidRPr="00770D6A">
              <w:rPr>
                <w:rFonts w:ascii="Times New Roman" w:hAnsi="Times New Roman" w:cs="Times New Roman"/>
                <w:sz w:val="24"/>
                <w:szCs w:val="24"/>
              </w:rPr>
              <w:t>г.</w:t>
            </w:r>
          </w:p>
          <w:p w:rsidR="007F4E15" w:rsidRPr="00770D6A" w:rsidRDefault="007F4E15"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друга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страна,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именно</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заради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равнопоставеност</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между</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кандидатите,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поставяни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допълнителни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условия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изисквания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не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предвидени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изключения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при</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оценката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за</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съответствие</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с</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посочения</w:t>
            </w:r>
            <w:r w:rsidR="0019606C" w:rsidRPr="00770D6A">
              <w:rPr>
                <w:rFonts w:ascii="Times New Roman" w:hAnsi="Times New Roman" w:cs="Times New Roman"/>
                <w:sz w:val="24"/>
                <w:szCs w:val="24"/>
              </w:rPr>
              <w:t xml:space="preserve"> </w:t>
            </w:r>
            <w:r w:rsidRPr="00770D6A">
              <w:rPr>
                <w:rFonts w:ascii="Times New Roman" w:hAnsi="Times New Roman" w:cs="Times New Roman"/>
                <w:sz w:val="24"/>
                <w:szCs w:val="24"/>
              </w:rPr>
              <w:t>критерий.</w:t>
            </w:r>
          </w:p>
        </w:tc>
      </w:tr>
      <w:tr w:rsidR="000A127C" w:rsidRPr="00770D6A" w:rsidTr="00ED5BBF">
        <w:trPr>
          <w:trHeight w:val="70"/>
        </w:trPr>
        <w:tc>
          <w:tcPr>
            <w:tcW w:w="567" w:type="dxa"/>
            <w:shd w:val="clear" w:color="auto" w:fill="auto"/>
          </w:tcPr>
          <w:p w:rsidR="000A127C" w:rsidRPr="000A3860" w:rsidRDefault="000A127C" w:rsidP="000A127C">
            <w:pPr>
              <w:tabs>
                <w:tab w:val="left" w:pos="10632"/>
              </w:tabs>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2.</w:t>
            </w:r>
          </w:p>
        </w:tc>
        <w:tc>
          <w:tcPr>
            <w:tcW w:w="1559" w:type="dxa"/>
            <w:shd w:val="clear" w:color="auto" w:fill="auto"/>
          </w:tcPr>
          <w:p w:rsidR="000A127C" w:rsidRPr="000A3860" w:rsidRDefault="000A127C" w:rsidP="000A127C">
            <w:pPr>
              <w:tabs>
                <w:tab w:val="left" w:pos="10632"/>
              </w:tabs>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Иванова</w:t>
            </w:r>
          </w:p>
        </w:tc>
        <w:tc>
          <w:tcPr>
            <w:tcW w:w="1588" w:type="dxa"/>
            <w:shd w:val="clear" w:color="auto" w:fill="auto"/>
          </w:tcPr>
          <w:p w:rsidR="000A127C" w:rsidRPr="00770D6A" w:rsidRDefault="000A127C" w:rsidP="000A127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21.10.2025 г.</w:t>
            </w:r>
          </w:p>
          <w:p w:rsidR="000A127C" w:rsidRPr="00770D6A" w:rsidRDefault="000A127C" w:rsidP="000A127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14:34</w:t>
            </w:r>
          </w:p>
        </w:tc>
        <w:tc>
          <w:tcPr>
            <w:tcW w:w="5599" w:type="dxa"/>
            <w:shd w:val="clear" w:color="auto" w:fill="auto"/>
          </w:tcPr>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Във връзка с публикувани Условия за кандидатстване по </w:t>
            </w:r>
            <w:r w:rsidRPr="00770D6A">
              <w:rPr>
                <w:rFonts w:ascii="Times New Roman" w:hAnsi="Times New Roman" w:cs="Times New Roman"/>
                <w:b/>
                <w:bCs/>
                <w:sz w:val="24"/>
                <w:szCs w:val="24"/>
              </w:rPr>
              <w:t xml:space="preserve">II.Г.1.1. - Инвестиции в земеделските стопанства насочени към опазване на компонентите на околната среда </w:t>
            </w:r>
            <w:r w:rsidRPr="00770D6A">
              <w:rPr>
                <w:rFonts w:ascii="Times New Roman" w:hAnsi="Times New Roman" w:cs="Times New Roman"/>
                <w:sz w:val="24"/>
                <w:szCs w:val="24"/>
              </w:rPr>
              <w:t>предлагаме да се направят следните корекции:</w:t>
            </w:r>
          </w:p>
          <w:p w:rsidR="000A127C" w:rsidRPr="00770D6A" w:rsidRDefault="000A127C" w:rsidP="000A127C">
            <w:pPr>
              <w:numPr>
                <w:ilvl w:val="0"/>
                <w:numId w:val="5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Точките по критерии 3.1</w:t>
            </w:r>
            <w:r w:rsidRPr="00770D6A">
              <w:rPr>
                <w:rFonts w:ascii="Times New Roman" w:hAnsi="Times New Roman" w:cs="Times New Roman"/>
                <w:sz w:val="24"/>
                <w:szCs w:val="24"/>
              </w:rPr>
              <w:t> „Финансовото състояние на кандидата обезпечава реализирането на инвестициите“ </w:t>
            </w:r>
            <w:r w:rsidRPr="00770D6A">
              <w:rPr>
                <w:rFonts w:ascii="Times New Roman" w:hAnsi="Times New Roman" w:cs="Times New Roman"/>
                <w:b/>
                <w:bCs/>
                <w:sz w:val="24"/>
                <w:szCs w:val="24"/>
              </w:rPr>
              <w:t>да бъдат редуцирани на 8 точки</w:t>
            </w:r>
            <w:r w:rsidRPr="00770D6A">
              <w:rPr>
                <w:rFonts w:ascii="Times New Roman" w:hAnsi="Times New Roman" w:cs="Times New Roman"/>
                <w:sz w:val="24"/>
                <w:szCs w:val="24"/>
              </w:rPr>
              <w:t> (вместо предложените 15 точки) и по двете интервенции със следните аргументи:</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Критерият „Финансовото състояние на кандидата обезпечава реализирането на инвестициите“ е безспорно важен, тъй като гарантира, че проектите ще могат да бъдат успешно изпълнени и доведени до край. Не се поставя под съмнение необходимостта от неговото наличие в критериите за подбор, но проблем представлява прекалено високата тежест, която му е отредена – 15 точки. При това точкуване критерият създава сериозен дисбаланс, който поставя големите и вече утвърдени предприятия в привилегирована позиция за сметка на по-малките стопанства.</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Големите земеделски предприятия по своята същност разполагат с капацитет за реализиране на значителни приходи и могат лесно да обезпечат необходимите инвестиции според критерия. Това автоматично им носи по-висок резултат по критерия и увеличава шансовете им за одобрение. В същото време по-малките кандидати, които тепърва желаят да разширят своето производство и за които подкрепата е от решаващо значение, се оказват в по-неблагоприятно положение. Така заложеният подход на практика концентрира ресурса в стопанства, които и без това имат по-добри възможности да реализират инвестиции, докато по-малките производители остават с ограничен достъп до финансиране.</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Следва да се подчертае, че целта на интервенциите е не само да се гарантира изпълнението на проектите, но и да се подпомогне устойчивото развитие на сектора, включително чрез създаване на условия за растеж на по-малки и средни стопанства. В условията на инфлация и значително повишени разходи за машини и оборудване, именно тези стопанства изпитват най-голяма необходимост от подпомагане, тъй като нямат достатъчно собствен финансов ресурс, за да реализират инвестициите. Ако тежестта на критерия остане твърде висока, съществува риск подкрепата да се съсредоточи основно в по-големи земеделски предприятия, което ще обезсмисли до голяма степен целите на мярката.</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 оглед на изложеното, подходящо решение е не пълното елиминиране на критерия, а неговото редуциране от 15 на 8 точки. По този начин ще се запази ролята му да оценява финансовата стабилност на кандидатите, но същевременно ще се намали дисбалансът между различните групи стопанства и ще се даде по-реален шанс на по-малките производители да се възползват от подпомагането. Редуцирането на точките би осигурило по-справедливо разпределение на ресурса и би допринесло за по-балансирано развитие на земеделския сектор. Така интервенциите ще постигнат своята основна цел – да стимулират модернизацията и устойчивия растеж на всички категории земеделски стопанства, а не само на тези, които вече разполагат с голям финансов потенциал.</w:t>
            </w:r>
          </w:p>
          <w:p w:rsidR="000A127C" w:rsidRPr="00770D6A" w:rsidRDefault="000A127C" w:rsidP="000A127C">
            <w:pPr>
              <w:numPr>
                <w:ilvl w:val="0"/>
                <w:numId w:val="58"/>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Уточняващият текст в критерии 4.5</w:t>
            </w:r>
            <w:r w:rsidRPr="00770D6A">
              <w:rPr>
                <w:rFonts w:ascii="Times New Roman" w:hAnsi="Times New Roman" w:cs="Times New Roman"/>
                <w:sz w:val="24"/>
                <w:szCs w:val="24"/>
              </w:rPr>
              <w:t xml:space="preserve"> „Кандидати, които не са подпомагани по подмярка 4.1. от ПРСР“ да бъде коригиран както следва: </w:t>
            </w:r>
            <w:r w:rsidRPr="00770D6A">
              <w:rPr>
                <w:rFonts w:ascii="Times New Roman" w:hAnsi="Times New Roman" w:cs="Times New Roman"/>
                <w:b/>
                <w:bCs/>
                <w:sz w:val="24"/>
                <w:szCs w:val="24"/>
              </w:rPr>
              <w:t>„Приоритет се присъжда на заявления за подпомагане, представени от кандидати, които нямат реализиран проект/ имат подадена заявка за окончателно плащане/имат получена финансова помощ по процедура чрез подбор № BG06RDNP001-4.008, № BG06RDNP001-4.012 и № BG06RDNP001-4.017 по подмярка 4.1. „Инвестиции в земеделски стопанства“ (извършва се служебна проверка).“ </w:t>
            </w:r>
            <w:r w:rsidRPr="00770D6A">
              <w:rPr>
                <w:rFonts w:ascii="Times New Roman" w:hAnsi="Times New Roman" w:cs="Times New Roman"/>
                <w:sz w:val="24"/>
                <w:szCs w:val="24"/>
              </w:rPr>
              <w:t>със следните аргументи:</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Критерият „Кандидати, които не са подпомагани по подмярка 4.1. от ПРСР“ има за цел да се даде приоритет на стопанства, които досега не са получавали подкрепа, и в този смисъл е справедлив и правилен. Проблем обаче представлява уточняващият текст към него, според който за да се счита, че кандидатът е бил подпомаган, е достатъчно той да има сключен административен договор по съответните процедури по подмярка 4.1. (№ BG06RDNP001-4.008, № BG06RDNP001-4.012 и № BG06RDNP001-4.017), независимо дали проектът е бил изпълнен и дали реално е получена финансова помощ.</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Подобна формулировка поставя кандидатите пред сериозни предизвикателства, тъй като много бенефициенти всъщност са сключили договори, но поради съвкупност от обективни и извънредни обстоятелства, не са успели да изпълнят проектите си и не са получили финансиране. В основата на проблема стоят процедурите № BG06RDNP001-4.012 и № BG06RDNP001-4.017 по подмярка 4.1., които бяха сред най-трудните приеми за изпълнение досега — с крайно ограничени срокове, често дори по-кратки от заложени срокове по подмерките (например по процедура BG06RDNP001-4.012 нямаха нужните 36 месеца за изпълнение, а по BG06RDNP001-4.017 – нужните 12 месеца). В допълнение, това се случи в контекста на пандемията от COVID-19 и последиците ѝ, както и във времето на войната в Украйна — фактори, които драстично затрудниха логистиката, доставките и реализацията на проекти от страна на земеделските производители.</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резултат, голяма част от стопанствата, макар и да имат формално сключени договори, реално не успяха да реализират предвидените инвестиции и не са получили средства по тях. На този фон, наличните данни (например от системата ИСУН) показват сравнително ниска степен на усвояемост по тези приеми на подмярка 4.1., което потвърждава, че процедурите бяха значително по-трудни за успешно приключване от типичните. Приравняването на стопанства, които са в такава ситуация, с тези, които действително са получили финансиране и са изпълнили проектите си, е формално несправедливо — ограничава достъпа до нови конкурси и лишава от възможност онези бенефициенти, които поради обстоятелства извън техния контрол не успяха да завършат успешно предишния си проект.</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Поради тази причина настоящото описание на уточняващия текст е несправедлива, тъй като приравнява стопанствата, които реално са получили подпомагане, със стопанствата, които имат само формално сключен договор, без изпълнение и без постъпили средства. Това води до ограничаване на достъпа на редица кандидати до нови интервенции, въпреки че те фактически не са се възползвали от публичен ресурс.</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 оглед на изложеното е необходимо уточняващият текст да бъде коригиран така, че критериите да се прилагат само по отношение на кандидати, които вече имат изпълнен проект и са получили финансова помощ по подмярка 4.1. Така ще се постигне реалната цел на критерия – да се даде предимство на стопанства, които досега не са били подпомагани, като същевременно ще се избегне неоправданото ощетяване на кандидати, които не са получили финансиране, въпреки сключен договор.</w:t>
            </w:r>
          </w:p>
          <w:p w:rsidR="000A127C" w:rsidRPr="00770D6A" w:rsidRDefault="000A127C" w:rsidP="000A127C">
            <w:pPr>
              <w:numPr>
                <w:ilvl w:val="0"/>
                <w:numId w:val="59"/>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бъде добавен нов критерий</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 xml:space="preserve">„Проектни предложения с инвестиции в иновативни за стопанството технологии, като - иновативни производствени технологии, цифрови технологии за производство и организация в селското стопанство, включително подходи приложени чрез Европейското партньорство за иновации“ </w:t>
            </w:r>
            <w:r w:rsidRPr="00770D6A">
              <w:rPr>
                <w:rFonts w:ascii="Times New Roman" w:hAnsi="Times New Roman" w:cs="Times New Roman"/>
                <w:sz w:val="24"/>
                <w:szCs w:val="24"/>
              </w:rPr>
              <w:t xml:space="preserve">като същия да бъде </w:t>
            </w:r>
            <w:r w:rsidRPr="00770D6A">
              <w:rPr>
                <w:rFonts w:ascii="Times New Roman" w:hAnsi="Times New Roman" w:cs="Times New Roman"/>
                <w:b/>
                <w:bCs/>
                <w:sz w:val="24"/>
                <w:szCs w:val="24"/>
              </w:rPr>
              <w:t xml:space="preserve">с поне 10 броя точки </w:t>
            </w:r>
            <w:r w:rsidRPr="00770D6A">
              <w:rPr>
                <w:rFonts w:ascii="Times New Roman" w:hAnsi="Times New Roman" w:cs="Times New Roman"/>
                <w:sz w:val="24"/>
                <w:szCs w:val="24"/>
              </w:rPr>
              <w:t>със следните аргументи:</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Предложението за добавяне на нов критерий с фокус върху за стопанството технологии, като иновативни производствени технологии, цифрови технологии за производство и организация в селското стопанство, включително подходи приложени чрез Европейското партньорство за иновации е напълно обосновано и в съответствие с целите на Общата селскостопанска политика и на Стратегическия план за развитие на земеделието и селските райони на Република България.</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На европейско ниво, ОСП 2023–2027 г. поставя ясен акцент върху модернизацията на селското стопанство чрез поощряване на обмена на знания, иновации и цифровизация. Това е определено като ключов инструмент за повишаване на конкурентоспособността, устойчивостта и ефективността на земеделските стопанства в дългосрочен план. В този контекст, проектите, които залагат на въвеждането на иновативни технологии, следва да получават приоритет в процеса на оценка.</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На национално ниво, в Стратегическия план за развитие на земеделието и селските райони ясно е формулирана специфична цел SO2: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Това е една от водещите насоки на политиката в сектора и обосновава необходимостта от въвеждането на приоритетен критерий, насочен именно към стимулиране на иновациите.</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Следва да се отчете и фактът, че България вече има приета Национална стратегия за цифровизация на земеделието и селските райони, която подчертава нуждата от внедряване на прецизни технологии, цифрови системи за управление и други решения, които да подпомогнат земеделските производители. Добавянето на такъв критерий ще ускори внедряването на тези технологии и ще допринесе за по-бързото адаптиране на сектора към съвременните икономически и екологични предизвикателства.</w:t>
            </w:r>
          </w:p>
          <w:p w:rsidR="000A127C" w:rsidRPr="00770D6A" w:rsidRDefault="000A127C" w:rsidP="000A127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обобщение, въвеждането на нов критерий, който да дава приоритет на проектни предложения с инвестиции в иновативни и цифрови технологии, ще осигури пряка връзка между прилагането на интервенциите и постигането на стратегическите цели на ОСП и СПЗРСР. Това ще насърчи модернизацията, ще повиши конкурентоспособността на земеделските стопанства и ще създаде условия за устойчиво и иновативно развитие на българското земеделие.</w:t>
            </w:r>
          </w:p>
        </w:tc>
        <w:tc>
          <w:tcPr>
            <w:tcW w:w="5599" w:type="dxa"/>
            <w:shd w:val="clear" w:color="auto" w:fill="auto"/>
          </w:tcPr>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b/>
                <w:sz w:val="24"/>
                <w:szCs w:val="24"/>
              </w:rPr>
            </w:pPr>
            <w:r w:rsidRPr="001956EB">
              <w:rPr>
                <w:rFonts w:ascii="Times New Roman" w:hAnsi="Times New Roman" w:cs="Times New Roman"/>
                <w:b/>
                <w:sz w:val="24"/>
                <w:szCs w:val="24"/>
              </w:rPr>
              <w:t>Не се приема.</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По време на обсъжданията бяха взети предвид аргументите и мотивите на заинтересованите страни и е търсен баланс при определяне на точите, който да отрази идентифицираните потребности и опита от прилагане на аналогични мерки в предходните програмни периоди.</w:t>
            </w: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b/>
                <w:sz w:val="24"/>
                <w:szCs w:val="24"/>
              </w:rPr>
            </w:pPr>
            <w:r w:rsidRPr="001956EB">
              <w:rPr>
                <w:rFonts w:ascii="Times New Roman" w:hAnsi="Times New Roman" w:cs="Times New Roman"/>
                <w:b/>
                <w:sz w:val="24"/>
                <w:szCs w:val="24"/>
              </w:rPr>
              <w:t>Не се приема.</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Критериите са приети след задълбочени дискусии със заинтересованите страни, в които са взети предвид и анализите при подготовка на стратегическия план, идентифицираните потребности и опита от прилагане на подобни мерки в предходните програмни периоди.</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С цел осигуряване на равно третиране на кандидатите са включени посочените приеми, т. е всички приеми по подмярка 4.1 от ПРСР 2014-2020 г.</w:t>
            </w: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sz w:val="24"/>
                <w:szCs w:val="24"/>
              </w:rPr>
            </w:pPr>
          </w:p>
          <w:p w:rsidR="000A127C" w:rsidRPr="001956EB" w:rsidRDefault="000A127C" w:rsidP="000A127C">
            <w:pPr>
              <w:spacing w:line="276" w:lineRule="auto"/>
              <w:jc w:val="both"/>
              <w:rPr>
                <w:rFonts w:ascii="Times New Roman" w:hAnsi="Times New Roman" w:cs="Times New Roman"/>
                <w:b/>
                <w:sz w:val="24"/>
                <w:szCs w:val="24"/>
              </w:rPr>
            </w:pPr>
            <w:r w:rsidRPr="001956EB">
              <w:rPr>
                <w:rFonts w:ascii="Times New Roman" w:hAnsi="Times New Roman" w:cs="Times New Roman"/>
                <w:b/>
                <w:sz w:val="24"/>
                <w:szCs w:val="24"/>
              </w:rPr>
              <w:t>Не се приема.</w:t>
            </w:r>
          </w:p>
          <w:p w:rsidR="000A127C" w:rsidRPr="001956EB"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0A127C" w:rsidRPr="00770D6A" w:rsidRDefault="000A127C" w:rsidP="000A127C">
            <w:pPr>
              <w:spacing w:line="276" w:lineRule="auto"/>
              <w:jc w:val="both"/>
              <w:rPr>
                <w:rFonts w:ascii="Times New Roman" w:hAnsi="Times New Roman" w:cs="Times New Roman"/>
                <w:sz w:val="24"/>
                <w:szCs w:val="24"/>
              </w:rPr>
            </w:pPr>
            <w:r w:rsidRPr="001956EB">
              <w:rPr>
                <w:rFonts w:ascii="Times New Roman" w:hAnsi="Times New Roman" w:cs="Times New Roman"/>
                <w:sz w:val="24"/>
                <w:szCs w:val="24"/>
              </w:rPr>
              <w:t>В допълнение, следва да се има предвид, че интервенция II.Г.1.1 „Инвестиции в земеделските стопанства, насочени към опазване на компонентите на околната среда“ е специално фокусирана и към технологиите на прецизно/интелигентно/цифрово земеделие.</w:t>
            </w:r>
          </w:p>
        </w:tc>
      </w:tr>
      <w:tr w:rsidR="001F355B" w:rsidRPr="00770D6A" w:rsidTr="00ED5BBF">
        <w:trPr>
          <w:trHeight w:val="70"/>
        </w:trPr>
        <w:tc>
          <w:tcPr>
            <w:tcW w:w="567" w:type="dxa"/>
            <w:shd w:val="clear" w:color="auto" w:fill="auto"/>
          </w:tcPr>
          <w:p w:rsidR="001F355B" w:rsidRPr="00770D6A" w:rsidRDefault="00AE14CC" w:rsidP="00E5495E">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w:t>
            </w:r>
            <w:r w:rsidR="001F355B" w:rsidRPr="00770D6A">
              <w:rPr>
                <w:rFonts w:ascii="Times New Roman" w:hAnsi="Times New Roman" w:cs="Times New Roman"/>
                <w:sz w:val="24"/>
                <w:szCs w:val="24"/>
              </w:rPr>
              <w:t>.</w:t>
            </w:r>
          </w:p>
        </w:tc>
        <w:tc>
          <w:tcPr>
            <w:tcW w:w="1559" w:type="dxa"/>
            <w:shd w:val="clear" w:color="auto" w:fill="auto"/>
          </w:tcPr>
          <w:p w:rsidR="001F355B" w:rsidRPr="000A3860" w:rsidRDefault="001F355B" w:rsidP="00E5495E">
            <w:pPr>
              <w:tabs>
                <w:tab w:val="left" w:pos="10632"/>
              </w:tabs>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Диана Георгиева</w:t>
            </w:r>
          </w:p>
        </w:tc>
        <w:tc>
          <w:tcPr>
            <w:tcW w:w="1588" w:type="dxa"/>
            <w:shd w:val="clear" w:color="auto" w:fill="auto"/>
          </w:tcPr>
          <w:p w:rsidR="001F355B" w:rsidRPr="000A3860" w:rsidRDefault="001F355B" w:rsidP="00E5495E">
            <w:pPr>
              <w:tabs>
                <w:tab w:val="left" w:pos="10632"/>
              </w:tabs>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22.10.2025 г.</w:t>
            </w:r>
          </w:p>
          <w:p w:rsidR="001F355B" w:rsidRPr="000A3860" w:rsidRDefault="001F355B" w:rsidP="00E5495E">
            <w:pPr>
              <w:tabs>
                <w:tab w:val="left" w:pos="10632"/>
              </w:tabs>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22:11</w:t>
            </w:r>
          </w:p>
        </w:tc>
        <w:tc>
          <w:tcPr>
            <w:tcW w:w="5599" w:type="dxa"/>
            <w:shd w:val="clear" w:color="auto" w:fill="auto"/>
          </w:tcPr>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Предложения за промени:</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1. Раздел 11. „Критерии за подбор и предварителна оценка“, критерий 4.3</w:t>
            </w:r>
          </w:p>
          <w:p w:rsidR="001F355B" w:rsidRPr="00770D6A" w:rsidRDefault="001F355B" w:rsidP="00E5495E">
            <w:pPr>
              <w:numPr>
                <w:ilvl w:val="0"/>
                <w:numId w:val="60"/>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Текущ текст:</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„Кандидатът:</w:t>
            </w:r>
            <w:r w:rsidRPr="00770D6A">
              <w:rPr>
                <w:rFonts w:ascii="Times New Roman" w:hAnsi="Times New Roman" w:cs="Times New Roman"/>
                <w:sz w:val="24"/>
                <w:szCs w:val="24"/>
              </w:rPr>
              <w:br/>
              <w:t>– е участвал в Системата за земеделска счетоводна информация (СЗСИ) и 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 2 точки;</w:t>
            </w:r>
            <w:r w:rsidRPr="00770D6A">
              <w:rPr>
                <w:rFonts w:ascii="Times New Roman" w:hAnsi="Times New Roman" w:cs="Times New Roman"/>
                <w:sz w:val="24"/>
                <w:szCs w:val="24"/>
              </w:rPr>
              <w:br/>
              <w:t>– не е участвал в Системата за земеделска счетоводна информация (СЗСИ), но 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 1 точка.“</w:t>
            </w:r>
          </w:p>
          <w:p w:rsidR="001F355B" w:rsidRPr="00770D6A" w:rsidRDefault="001F355B" w:rsidP="00E5495E">
            <w:pPr>
              <w:numPr>
                <w:ilvl w:val="0"/>
                <w:numId w:val="60"/>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 xml:space="preserve">Проблем: </w:t>
            </w:r>
            <w:r w:rsidRPr="00770D6A">
              <w:rPr>
                <w:rFonts w:ascii="Times New Roman" w:hAnsi="Times New Roman" w:cs="Times New Roman"/>
                <w:sz w:val="24"/>
                <w:szCs w:val="24"/>
              </w:rPr>
              <w:t>В текста не е ясно </w:t>
            </w:r>
            <w:r w:rsidRPr="00770D6A">
              <w:rPr>
                <w:rFonts w:ascii="Times New Roman" w:hAnsi="Times New Roman" w:cs="Times New Roman"/>
                <w:b/>
                <w:bCs/>
                <w:sz w:val="24"/>
                <w:szCs w:val="24"/>
              </w:rPr>
              <w:t>какво се има предвид под „подобна система“</w:t>
            </w:r>
            <w:r w:rsidRPr="00770D6A">
              <w:rPr>
                <w:rFonts w:ascii="Times New Roman" w:hAnsi="Times New Roman" w:cs="Times New Roman"/>
                <w:sz w:val="24"/>
                <w:szCs w:val="24"/>
              </w:rPr>
              <w:t>, което може да доведе до различни тълкувания при оценката на проектите.</w:t>
            </w:r>
          </w:p>
          <w:p w:rsidR="001F355B" w:rsidRPr="00770D6A" w:rsidRDefault="001F355B" w:rsidP="00E5495E">
            <w:pPr>
              <w:numPr>
                <w:ilvl w:val="0"/>
                <w:numId w:val="60"/>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 xml:space="preserve">Предлагана промяна: </w:t>
            </w:r>
            <w:r w:rsidRPr="00770D6A">
              <w:rPr>
                <w:rFonts w:ascii="Times New Roman" w:hAnsi="Times New Roman" w:cs="Times New Roman"/>
                <w:sz w:val="24"/>
                <w:szCs w:val="24"/>
              </w:rPr>
              <w:t>Да се допълнят имената на конкретните системи, които ще донесат точки по този критерии.</w:t>
            </w:r>
          </w:p>
          <w:p w:rsidR="001F355B" w:rsidRPr="00770D6A" w:rsidRDefault="001F355B" w:rsidP="00E5495E">
            <w:pPr>
              <w:numPr>
                <w:ilvl w:val="0"/>
                <w:numId w:val="60"/>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 xml:space="preserve">Мотиви: </w:t>
            </w:r>
            <w:r w:rsidRPr="00770D6A">
              <w:rPr>
                <w:rFonts w:ascii="Times New Roman" w:hAnsi="Times New Roman" w:cs="Times New Roman"/>
                <w:sz w:val="24"/>
                <w:szCs w:val="24"/>
              </w:rPr>
              <w:t>Уточняването на примери за „подобни системи“ ще осигури еднакво прилагане на критерия от всички оценители и ще улесни кандидатите.</w:t>
            </w:r>
            <w:r w:rsidR="000A3860">
              <w:rPr>
                <w:rFonts w:ascii="Times New Roman" w:hAnsi="Times New Roman" w:cs="Times New Roman"/>
                <w:sz w:val="24"/>
                <w:szCs w:val="24"/>
              </w:rPr>
              <w:t xml:space="preserve"> </w:t>
            </w:r>
            <w:r w:rsidRPr="00770D6A">
              <w:rPr>
                <w:rFonts w:ascii="Times New Roman" w:hAnsi="Times New Roman" w:cs="Times New Roman"/>
                <w:sz w:val="24"/>
                <w:szCs w:val="24"/>
              </w:rPr>
              <w:t>Липсата на яснота в момента може да доведе до </w:t>
            </w:r>
            <w:r w:rsidRPr="00770D6A">
              <w:rPr>
                <w:rFonts w:ascii="Times New Roman" w:hAnsi="Times New Roman" w:cs="Times New Roman"/>
                <w:b/>
                <w:bCs/>
                <w:sz w:val="24"/>
                <w:szCs w:val="24"/>
              </w:rPr>
              <w:t>неравнопоставеност</w:t>
            </w:r>
            <w:r w:rsidRPr="00770D6A">
              <w:rPr>
                <w:rFonts w:ascii="Times New Roman" w:hAnsi="Times New Roman" w:cs="Times New Roman"/>
                <w:sz w:val="24"/>
                <w:szCs w:val="24"/>
              </w:rPr>
              <w:t> при оценяването и до спорове при проверка на ангажимента.</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2. Раздел/ точка:</w:t>
            </w:r>
            <w:r w:rsidRPr="00770D6A">
              <w:rPr>
                <w:rFonts w:ascii="Times New Roman" w:hAnsi="Times New Roman" w:cs="Times New Roman"/>
                <w:sz w:val="24"/>
                <w:szCs w:val="24"/>
              </w:rPr>
              <w:t xml:space="preserve"> Раздел 12.1 „Общи документи“, т. 8.</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Текущ текст:</w:t>
            </w:r>
          </w:p>
          <w:p w:rsidR="001F355B" w:rsidRPr="00770D6A" w:rsidRDefault="001F355B" w:rsidP="00E5495E">
            <w:pPr>
              <w:numPr>
                <w:ilvl w:val="0"/>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„8. 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 както и документ за спазване на поставените условия и мерки по т. 21 от Раздел 9.1. „Условия за допустимост на дейностите/инвестициите, в т.ч. срок за изпълнение на одобрените заявления за подпомагане“, издаден от този орган. Представя се в случаите, когато издаването на документа се изисква по ЗООС и/или по ЗВ.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rsidR="001F355B" w:rsidRPr="00770D6A" w:rsidRDefault="001F355B" w:rsidP="00E5495E">
            <w:pPr>
              <w:numPr>
                <w:ilvl w:val="0"/>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Предлагана промяна:</w:t>
            </w:r>
            <w:r w:rsidRPr="00770D6A">
              <w:rPr>
                <w:rFonts w:ascii="Times New Roman" w:hAnsi="Times New Roman" w:cs="Times New Roman"/>
                <w:sz w:val="24"/>
                <w:szCs w:val="24"/>
              </w:rPr>
              <w:br/>
              <w:t>Да се добави ново изречение в края на текста:</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„Документ от компетентния орган по околна среда (РИОСВ/МОСВ/БД)</w:t>
            </w:r>
            <w:r w:rsidR="0061314D"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не се изисква при инвестиции, включващи единствено доставка на самоходна земеделска техника,</w:t>
            </w:r>
            <w:r w:rsidR="00DF07AF"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прикачен инвентар,софтуер и</w:t>
            </w:r>
            <w:r w:rsidR="0061314D"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дронове</w:t>
            </w:r>
            <w:r w:rsidR="0061314D" w:rsidRPr="00770D6A">
              <w:rPr>
                <w:rFonts w:ascii="Times New Roman" w:hAnsi="Times New Roman" w:cs="Times New Roman"/>
                <w:b/>
                <w:bCs/>
                <w:sz w:val="24"/>
                <w:szCs w:val="24"/>
              </w:rPr>
              <w:t xml:space="preserve"> </w:t>
            </w:r>
            <w:r w:rsidRPr="00770D6A">
              <w:rPr>
                <w:rFonts w:ascii="Times New Roman" w:hAnsi="Times New Roman" w:cs="Times New Roman"/>
                <w:sz w:val="24"/>
                <w:szCs w:val="24"/>
              </w:rPr>
              <w:t>които не попадат в обхвата на процедурите по оценка на въздействието върху околната среда по смисъла на ЗООС и ЗВ.“</w:t>
            </w:r>
          </w:p>
          <w:p w:rsidR="001F355B" w:rsidRPr="00770D6A" w:rsidRDefault="001F355B" w:rsidP="00E5495E">
            <w:pPr>
              <w:numPr>
                <w:ilvl w:val="0"/>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Мотиви:</w:t>
            </w:r>
          </w:p>
          <w:p w:rsidR="001F355B" w:rsidRPr="00770D6A" w:rsidRDefault="001F355B" w:rsidP="00E5495E">
            <w:pPr>
              <w:numPr>
                <w:ilvl w:val="1"/>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Изискването за представяне на документ от РИОСВ при инвестиции, които се изразяват единствено в </w:t>
            </w:r>
            <w:r w:rsidRPr="00770D6A">
              <w:rPr>
                <w:rFonts w:ascii="Times New Roman" w:hAnsi="Times New Roman" w:cs="Times New Roman"/>
                <w:b/>
                <w:bCs/>
                <w:sz w:val="24"/>
                <w:szCs w:val="24"/>
              </w:rPr>
              <w:t>покупка на земеделска техника, прикачен инвентар софтуер и дронове</w:t>
            </w:r>
            <w:r w:rsidRPr="00770D6A">
              <w:rPr>
                <w:rFonts w:ascii="Times New Roman" w:hAnsi="Times New Roman" w:cs="Times New Roman"/>
                <w:sz w:val="24"/>
                <w:szCs w:val="24"/>
              </w:rPr>
              <w:t>, е</w:t>
            </w:r>
            <w:r w:rsidR="00DF07AF"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административно ненужно</w:t>
            </w:r>
            <w:r w:rsidR="00DF07AF" w:rsidRPr="00770D6A">
              <w:rPr>
                <w:rFonts w:ascii="Times New Roman" w:hAnsi="Times New Roman" w:cs="Times New Roman"/>
                <w:sz w:val="24"/>
                <w:szCs w:val="24"/>
              </w:rPr>
              <w:t xml:space="preserve"> </w:t>
            </w:r>
            <w:r w:rsidRPr="00770D6A">
              <w:rPr>
                <w:rFonts w:ascii="Times New Roman" w:hAnsi="Times New Roman" w:cs="Times New Roman"/>
                <w:sz w:val="24"/>
                <w:szCs w:val="24"/>
              </w:rPr>
              <w:t>и</w:t>
            </w:r>
            <w:r w:rsidR="00DF07AF"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забавя процедурите</w:t>
            </w:r>
            <w:r w:rsidRPr="00770D6A">
              <w:rPr>
                <w:rFonts w:ascii="Times New Roman" w:hAnsi="Times New Roman" w:cs="Times New Roman"/>
                <w:sz w:val="24"/>
                <w:szCs w:val="24"/>
              </w:rPr>
              <w:t>.</w:t>
            </w:r>
          </w:p>
          <w:p w:rsidR="001F355B" w:rsidRPr="00770D6A" w:rsidRDefault="001F355B" w:rsidP="00E5495E">
            <w:pPr>
              <w:numPr>
                <w:ilvl w:val="1"/>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При тези инвестиции </w:t>
            </w:r>
            <w:r w:rsidRPr="00770D6A">
              <w:rPr>
                <w:rFonts w:ascii="Times New Roman" w:hAnsi="Times New Roman" w:cs="Times New Roman"/>
                <w:b/>
                <w:bCs/>
                <w:sz w:val="24"/>
                <w:szCs w:val="24"/>
              </w:rPr>
              <w:t>липсва каквото и да е въздействие върху околната среда</w:t>
            </w:r>
            <w:r w:rsidRPr="00770D6A">
              <w:rPr>
                <w:rFonts w:ascii="Times New Roman" w:hAnsi="Times New Roman" w:cs="Times New Roman"/>
                <w:sz w:val="24"/>
                <w:szCs w:val="24"/>
              </w:rPr>
              <w:t>, поради което няма логическо и нормативно основание за изискване на становище по ЗООС или ЗВ.</w:t>
            </w:r>
          </w:p>
          <w:p w:rsidR="001F355B" w:rsidRPr="00770D6A" w:rsidRDefault="001F355B" w:rsidP="00E5495E">
            <w:pPr>
              <w:numPr>
                <w:ilvl w:val="1"/>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По аналогия с процедурите по </w:t>
            </w:r>
            <w:r w:rsidRPr="00770D6A">
              <w:rPr>
                <w:rFonts w:ascii="Times New Roman" w:hAnsi="Times New Roman" w:cs="Times New Roman"/>
                <w:b/>
                <w:bCs/>
                <w:sz w:val="24"/>
                <w:szCs w:val="24"/>
              </w:rPr>
              <w:t>Националния план за възстановяване и устойчивост (НПВУ)</w:t>
            </w:r>
            <w:r w:rsidRPr="00770D6A">
              <w:rPr>
                <w:rFonts w:ascii="Times New Roman" w:hAnsi="Times New Roman" w:cs="Times New Roman"/>
                <w:sz w:val="24"/>
                <w:szCs w:val="24"/>
              </w:rPr>
              <w:t>, това изискване вече </w:t>
            </w:r>
            <w:r w:rsidRPr="00770D6A">
              <w:rPr>
                <w:rFonts w:ascii="Times New Roman" w:hAnsi="Times New Roman" w:cs="Times New Roman"/>
                <w:b/>
                <w:bCs/>
                <w:sz w:val="24"/>
                <w:szCs w:val="24"/>
              </w:rPr>
              <w:t>беше премахнато</w:t>
            </w:r>
            <w:r w:rsidRPr="00770D6A">
              <w:rPr>
                <w:rFonts w:ascii="Times New Roman" w:hAnsi="Times New Roman" w:cs="Times New Roman"/>
                <w:sz w:val="24"/>
                <w:szCs w:val="24"/>
              </w:rPr>
              <w:t>, което значително намали административната тежест както за кандидатите, така и за РИОСВ.</w:t>
            </w:r>
          </w:p>
          <w:p w:rsidR="001F355B" w:rsidRPr="00770D6A" w:rsidRDefault="001F355B" w:rsidP="00E5495E">
            <w:pPr>
              <w:numPr>
                <w:ilvl w:val="1"/>
                <w:numId w:val="61"/>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Предложението ще позволи </w:t>
            </w:r>
            <w:r w:rsidRPr="00770D6A">
              <w:rPr>
                <w:rFonts w:ascii="Times New Roman" w:hAnsi="Times New Roman" w:cs="Times New Roman"/>
                <w:b/>
                <w:bCs/>
                <w:sz w:val="24"/>
                <w:szCs w:val="24"/>
              </w:rPr>
              <w:t>РИОСВ да насочи ресурса си</w:t>
            </w:r>
            <w:r w:rsidRPr="00770D6A">
              <w:rPr>
                <w:rFonts w:ascii="Times New Roman" w:hAnsi="Times New Roman" w:cs="Times New Roman"/>
                <w:sz w:val="24"/>
                <w:szCs w:val="24"/>
              </w:rPr>
              <w:t> към разглеждане на инвестиции, които реално могат да окажат въздействие върху околната среда (строителство, напояване, животновъдни обекти и др.).</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3.</w:t>
            </w:r>
            <w:r w:rsidR="00AE14CC" w:rsidRPr="00770D6A">
              <w:rPr>
                <w:rFonts w:ascii="Times New Roman" w:hAnsi="Times New Roman" w:cs="Times New Roman"/>
                <w:b/>
                <w:bCs/>
                <w:sz w:val="24"/>
                <w:szCs w:val="24"/>
              </w:rPr>
              <w:t xml:space="preserve"> </w:t>
            </w:r>
            <w:r w:rsidRPr="00770D6A">
              <w:rPr>
                <w:rFonts w:ascii="Times New Roman" w:hAnsi="Times New Roman" w:cs="Times New Roman"/>
                <w:b/>
                <w:bCs/>
                <w:sz w:val="24"/>
                <w:szCs w:val="24"/>
              </w:rPr>
              <w:t>Раздел 11. „Критерии за подбор и предварителна оценка“, критерий 3.1</w:t>
            </w:r>
          </w:p>
          <w:p w:rsidR="001F355B" w:rsidRPr="00770D6A" w:rsidRDefault="001F355B" w:rsidP="00E5495E">
            <w:pPr>
              <w:numPr>
                <w:ilvl w:val="0"/>
                <w:numId w:val="62"/>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Текущ текст (извадка):</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„Критерий 4.1. Кандидатът демонстрира положителни икономически резултати за последните три приключени финансови години, като показателите се изчисляват въз основа на данни от Отчета за приходите и разходите (ОПР).“</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Предлагана промяна:</w:t>
            </w:r>
          </w:p>
          <w:p w:rsidR="001F355B" w:rsidRPr="00770D6A" w:rsidRDefault="001F355B" w:rsidP="00E5495E">
            <w:pPr>
              <w:numPr>
                <w:ilvl w:val="0"/>
                <w:numId w:val="63"/>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Да се допълни текстът така че да става ясно как когато кандидатът не води счетоводство по реда на Закона за счетоводството и подава годишна данъчна декларация по чл. 50 от ЗДДФЛ, ще се изчислява този критерий. Да се добавят кои са кодове от ГДД , както в условията за кандидатстване така и в Приложение 1.</w:t>
            </w:r>
          </w:p>
          <w:p w:rsidR="00AE14CC" w:rsidRPr="00770D6A" w:rsidRDefault="00AE14CC" w:rsidP="00E5495E">
            <w:pPr>
              <w:spacing w:line="276" w:lineRule="auto"/>
              <w:jc w:val="both"/>
              <w:rPr>
                <w:rFonts w:ascii="Times New Roman" w:hAnsi="Times New Roman" w:cs="Times New Roman"/>
                <w:b/>
                <w:bCs/>
                <w:sz w:val="24"/>
                <w:szCs w:val="24"/>
              </w:rPr>
            </w:pPr>
          </w:p>
          <w:p w:rsidR="00AE14CC" w:rsidRPr="00770D6A" w:rsidRDefault="00AE14CC" w:rsidP="00E5495E">
            <w:pPr>
              <w:spacing w:line="276" w:lineRule="auto"/>
              <w:jc w:val="both"/>
              <w:rPr>
                <w:rFonts w:ascii="Times New Roman" w:hAnsi="Times New Roman" w:cs="Times New Roman"/>
                <w:b/>
                <w:bCs/>
                <w:sz w:val="24"/>
                <w:szCs w:val="24"/>
              </w:rPr>
            </w:pPr>
          </w:p>
          <w:p w:rsidR="00AE14CC" w:rsidRPr="00770D6A" w:rsidRDefault="00AE14CC" w:rsidP="00E5495E">
            <w:pPr>
              <w:spacing w:line="276" w:lineRule="auto"/>
              <w:jc w:val="both"/>
              <w:rPr>
                <w:rFonts w:ascii="Times New Roman" w:hAnsi="Times New Roman" w:cs="Times New Roman"/>
                <w:b/>
                <w:bCs/>
                <w:sz w:val="24"/>
                <w:szCs w:val="24"/>
              </w:rPr>
            </w:pPr>
          </w:p>
          <w:p w:rsidR="00AE14CC" w:rsidRPr="00770D6A" w:rsidRDefault="00AE14CC" w:rsidP="00E5495E">
            <w:pPr>
              <w:spacing w:line="276" w:lineRule="auto"/>
              <w:jc w:val="both"/>
              <w:rPr>
                <w:rFonts w:ascii="Times New Roman" w:hAnsi="Times New Roman" w:cs="Times New Roman"/>
                <w:b/>
                <w:bCs/>
                <w:sz w:val="24"/>
                <w:szCs w:val="24"/>
              </w:rPr>
            </w:pP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4.</w:t>
            </w:r>
            <w:r w:rsidR="00AE14CC"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Раздел 9.1 „Условия за допустимост на дейностите/инвестициите, в т.ч. срок за изпълнение на одобрените заявления за подпомагане“, т. 7.1</w:t>
            </w:r>
          </w:p>
          <w:p w:rsidR="001F355B" w:rsidRPr="00770D6A" w:rsidRDefault="001F355B" w:rsidP="00E5495E">
            <w:pPr>
              <w:numPr>
                <w:ilvl w:val="0"/>
                <w:numId w:val="64"/>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Текущ текст:</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„7.1. Когато кандидатът е подал заявления за подпомагане и по интервенция ІІ.Г.1.1., в което приходите от продажби се формират от едни и същи площи с култури/видове и брой животни, при изчисляването на показателите на бизнес плана се отчитат общо заявените разходи и сумата на субсидията по двете заявления за подпомагане.“</w:t>
            </w:r>
          </w:p>
          <w:p w:rsidR="001F355B" w:rsidRPr="00770D6A" w:rsidRDefault="001F355B" w:rsidP="00E5495E">
            <w:pPr>
              <w:numPr>
                <w:ilvl w:val="0"/>
                <w:numId w:val="65"/>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Предлагана промяна:</w:t>
            </w:r>
            <w:r w:rsidRPr="00770D6A">
              <w:rPr>
                <w:rFonts w:ascii="Times New Roman" w:hAnsi="Times New Roman" w:cs="Times New Roman"/>
                <w:sz w:val="24"/>
                <w:szCs w:val="24"/>
              </w:rPr>
              <w:br/>
              <w:t>Да се допълни текстът, така че когато инвестициите са идентични или включват едни и същи активи, сборуването на разходите не следва да се прилага, тъй като в този случай е очевидно, че кандидатът няма да изпълни и двата проекта едновременно. Това води до изкривяване на бизнес плана чрез добавяне на разход, който реално няма да бъде извършен.</w:t>
            </w:r>
          </w:p>
          <w:p w:rsidR="001F355B" w:rsidRPr="00770D6A" w:rsidRDefault="001F355B" w:rsidP="00E5495E">
            <w:pPr>
              <w:numPr>
                <w:ilvl w:val="0"/>
                <w:numId w:val="66"/>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Мотиви:</w:t>
            </w:r>
          </w:p>
          <w:p w:rsidR="001F355B" w:rsidRPr="00770D6A" w:rsidRDefault="001F355B" w:rsidP="00E5495E">
            <w:pPr>
              <w:numPr>
                <w:ilvl w:val="1"/>
                <w:numId w:val="66"/>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случаите, когато кандидатът подава проекти по двете интервенции с </w:t>
            </w:r>
            <w:r w:rsidRPr="00770D6A">
              <w:rPr>
                <w:rFonts w:ascii="Times New Roman" w:hAnsi="Times New Roman" w:cs="Times New Roman"/>
                <w:b/>
                <w:bCs/>
                <w:sz w:val="24"/>
                <w:szCs w:val="24"/>
              </w:rPr>
              <w:t>еднакви инвестиции (например една и съща машина или съоръжение)</w:t>
            </w:r>
            <w:r w:rsidRPr="00770D6A">
              <w:rPr>
                <w:rFonts w:ascii="Times New Roman" w:hAnsi="Times New Roman" w:cs="Times New Roman"/>
                <w:sz w:val="24"/>
                <w:szCs w:val="24"/>
              </w:rPr>
              <w:t>, е ясно, че реално </w:t>
            </w:r>
            <w:r w:rsidRPr="00770D6A">
              <w:rPr>
                <w:rFonts w:ascii="Times New Roman" w:hAnsi="Times New Roman" w:cs="Times New Roman"/>
                <w:b/>
                <w:bCs/>
                <w:sz w:val="24"/>
                <w:szCs w:val="24"/>
              </w:rPr>
              <w:t>няма да бъдат изпълнени и двата проекта</w:t>
            </w:r>
            <w:r w:rsidRPr="00770D6A">
              <w:rPr>
                <w:rFonts w:ascii="Times New Roman" w:hAnsi="Times New Roman" w:cs="Times New Roman"/>
                <w:sz w:val="24"/>
                <w:szCs w:val="24"/>
              </w:rPr>
              <w:t>, а е участвал за да увеличи шанса си за одобрение.</w:t>
            </w:r>
          </w:p>
          <w:p w:rsidR="001F355B" w:rsidRPr="00770D6A" w:rsidRDefault="001F355B" w:rsidP="00E5495E">
            <w:pPr>
              <w:numPr>
                <w:ilvl w:val="1"/>
                <w:numId w:val="66"/>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подобни ситуации сборуването на разходите  </w:t>
            </w:r>
            <w:r w:rsidRPr="00770D6A">
              <w:rPr>
                <w:rFonts w:ascii="Times New Roman" w:hAnsi="Times New Roman" w:cs="Times New Roman"/>
                <w:b/>
                <w:bCs/>
                <w:sz w:val="24"/>
                <w:szCs w:val="24"/>
              </w:rPr>
              <w:t>изкуствено увеличава общите стойности</w:t>
            </w:r>
            <w:r w:rsidRPr="00770D6A">
              <w:rPr>
                <w:rFonts w:ascii="Times New Roman" w:hAnsi="Times New Roman" w:cs="Times New Roman"/>
                <w:sz w:val="24"/>
                <w:szCs w:val="24"/>
              </w:rPr>
              <w:t> в бизнес плана и води до </w:t>
            </w:r>
            <w:r w:rsidRPr="00770D6A">
              <w:rPr>
                <w:rFonts w:ascii="Times New Roman" w:hAnsi="Times New Roman" w:cs="Times New Roman"/>
                <w:b/>
                <w:bCs/>
                <w:sz w:val="24"/>
                <w:szCs w:val="24"/>
              </w:rPr>
              <w:t>нереалистични икономически показатели</w:t>
            </w:r>
            <w:r w:rsidRPr="00770D6A">
              <w:rPr>
                <w:rFonts w:ascii="Times New Roman" w:hAnsi="Times New Roman" w:cs="Times New Roman"/>
                <w:sz w:val="24"/>
                <w:szCs w:val="24"/>
              </w:rPr>
              <w:t>.</w:t>
            </w:r>
          </w:p>
          <w:p w:rsidR="001F355B" w:rsidRPr="00770D6A" w:rsidRDefault="001F355B" w:rsidP="00E5495E">
            <w:pPr>
              <w:numPr>
                <w:ilvl w:val="1"/>
                <w:numId w:val="66"/>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Когато инвестициите по двете интервенции са различни (например техника по II.Г.1 и екологично оборудване по II.Г.1.1), сборуването може да се запази, защото тогава се отчитат реални допълващи се дейности, които могат да бъдат изпълнени.</w:t>
            </w:r>
          </w:p>
          <w:p w:rsidR="001F355B" w:rsidRPr="00770D6A" w:rsidRDefault="001F355B" w:rsidP="00E5495E">
            <w:pPr>
              <w:numPr>
                <w:ilvl w:val="1"/>
                <w:numId w:val="66"/>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Промяната ще предотврати </w:t>
            </w:r>
            <w:r w:rsidRPr="00770D6A">
              <w:rPr>
                <w:rFonts w:ascii="Times New Roman" w:hAnsi="Times New Roman" w:cs="Times New Roman"/>
                <w:b/>
                <w:bCs/>
                <w:sz w:val="24"/>
                <w:szCs w:val="24"/>
              </w:rPr>
              <w:t>изкривяване на бизнес плановете</w:t>
            </w:r>
            <w:r w:rsidRPr="00770D6A">
              <w:rPr>
                <w:rFonts w:ascii="Times New Roman" w:hAnsi="Times New Roman" w:cs="Times New Roman"/>
                <w:sz w:val="24"/>
                <w:szCs w:val="24"/>
              </w:rPr>
              <w:t> и ще осигури по-реалистична и справедлива оценка на проектите.</w:t>
            </w:r>
          </w:p>
        </w:tc>
        <w:tc>
          <w:tcPr>
            <w:tcW w:w="5599" w:type="dxa"/>
            <w:shd w:val="clear" w:color="auto" w:fill="auto"/>
          </w:tcPr>
          <w:p w:rsidR="001F355B" w:rsidRPr="00770D6A" w:rsidRDefault="001F355B" w:rsidP="00E5495E">
            <w:pPr>
              <w:spacing w:line="276" w:lineRule="auto"/>
              <w:jc w:val="both"/>
              <w:rPr>
                <w:rFonts w:ascii="Times New Roman" w:hAnsi="Times New Roman" w:cs="Times New Roman"/>
                <w:b/>
                <w:sz w:val="24"/>
                <w:szCs w:val="24"/>
              </w:rPr>
            </w:pPr>
          </w:p>
          <w:p w:rsidR="001F355B" w:rsidRPr="00770D6A" w:rsidRDefault="001F355B" w:rsidP="00E5495E">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Не се приема.</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Система за информация за устойчивостта на земеделските стопанства (СИУЗС) е новата система, която надгражда Системата за земеделска счетоводна информация (СЗСИ). Това са двете системи, от участието в които зависи приоритизирането по критерия.</w:t>
            </w: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Default="001F355B" w:rsidP="00E5495E">
            <w:pPr>
              <w:spacing w:line="276" w:lineRule="auto"/>
              <w:jc w:val="both"/>
              <w:rPr>
                <w:rFonts w:ascii="Times New Roman" w:hAnsi="Times New Roman" w:cs="Times New Roman"/>
                <w:sz w:val="24"/>
                <w:szCs w:val="24"/>
              </w:rPr>
            </w:pPr>
          </w:p>
          <w:p w:rsidR="00531D7F" w:rsidRPr="00770D6A" w:rsidRDefault="00531D7F"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Приема се по принцип.</w:t>
            </w:r>
          </w:p>
          <w:p w:rsidR="001F355B" w:rsidRPr="00770D6A" w:rsidRDefault="001F355B" w:rsidP="00E5495E">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 писмо </w:t>
            </w:r>
            <w:r w:rsidR="003F7753" w:rsidRPr="00770D6A">
              <w:rPr>
                <w:rFonts w:ascii="Times New Roman" w:hAnsi="Times New Roman" w:cs="Times New Roman"/>
                <w:sz w:val="24"/>
                <w:szCs w:val="24"/>
              </w:rPr>
              <w:t>с рег. № 04-00-2884-3 от 24.11.2025 г.</w:t>
            </w:r>
            <w:r w:rsidRPr="00770D6A">
              <w:rPr>
                <w:rFonts w:ascii="Times New Roman" w:hAnsi="Times New Roman" w:cs="Times New Roman"/>
                <w:sz w:val="24"/>
                <w:szCs w:val="24"/>
              </w:rPr>
              <w:t xml:space="preserve"> МОСВ </w:t>
            </w:r>
            <w:r w:rsidR="003F7753" w:rsidRPr="00770D6A">
              <w:rPr>
                <w:rFonts w:ascii="Times New Roman" w:hAnsi="Times New Roman" w:cs="Times New Roman"/>
                <w:sz w:val="24"/>
                <w:szCs w:val="24"/>
              </w:rPr>
              <w:t>изразява</w:t>
            </w:r>
            <w:r w:rsidRPr="00770D6A">
              <w:rPr>
                <w:rFonts w:ascii="Times New Roman" w:hAnsi="Times New Roman" w:cs="Times New Roman"/>
                <w:sz w:val="24"/>
                <w:szCs w:val="24"/>
              </w:rPr>
              <w:t xml:space="preserve"> принципно становище</w:t>
            </w:r>
            <w:r w:rsidR="003F7753" w:rsidRPr="00770D6A">
              <w:rPr>
                <w:rFonts w:ascii="Times New Roman" w:hAnsi="Times New Roman" w:cs="Times New Roman"/>
                <w:sz w:val="24"/>
                <w:szCs w:val="24"/>
              </w:rPr>
              <w:t xml:space="preserve">, че </w:t>
            </w:r>
            <w:r w:rsidR="003F7753" w:rsidRPr="00770D6A">
              <w:rPr>
                <w:rFonts w:ascii="Times New Roman" w:hAnsi="Times New Roman" w:cs="Times New Roman"/>
                <w:i/>
                <w:sz w:val="24"/>
                <w:szCs w:val="24"/>
              </w:rPr>
              <w:t xml:space="preserve">„предложения на кандидати за подпомагане по СПРЗСР 2023-2027 г., свързани </w:t>
            </w:r>
            <w:r w:rsidR="003F7753" w:rsidRPr="00770D6A">
              <w:rPr>
                <w:rFonts w:ascii="Times New Roman" w:hAnsi="Times New Roman" w:cs="Times New Roman"/>
                <w:b/>
                <w:i/>
                <w:sz w:val="24"/>
                <w:szCs w:val="24"/>
              </w:rPr>
              <w:t xml:space="preserve">само и единствено </w:t>
            </w:r>
            <w:r w:rsidR="003F7753" w:rsidRPr="00770D6A">
              <w:rPr>
                <w:rFonts w:ascii="Times New Roman" w:hAnsi="Times New Roman" w:cs="Times New Roman"/>
                <w:i/>
                <w:sz w:val="24"/>
                <w:szCs w:val="24"/>
              </w:rPr>
              <w:t xml:space="preserve"> със закупуване на техника или инвентар</w:t>
            </w:r>
            <w:r w:rsidRPr="00770D6A">
              <w:rPr>
                <w:rFonts w:ascii="Times New Roman" w:hAnsi="Times New Roman" w:cs="Times New Roman"/>
                <w:i/>
                <w:sz w:val="24"/>
                <w:szCs w:val="24"/>
              </w:rPr>
              <w:t>, софтуер, специализирани транспортни средства и материални и нематериални инвестиции за прилагане на технологиите на прецизно/интелигентно/цифрово земеделие</w:t>
            </w:r>
            <w:r w:rsidR="003F7753" w:rsidRPr="00770D6A">
              <w:rPr>
                <w:rFonts w:ascii="Times New Roman" w:hAnsi="Times New Roman" w:cs="Times New Roman"/>
                <w:i/>
                <w:sz w:val="24"/>
                <w:szCs w:val="24"/>
              </w:rPr>
              <w:t>, няма основание да се провеждат процедури по реда на глава шеста от</w:t>
            </w:r>
            <w:r w:rsidRPr="00770D6A">
              <w:rPr>
                <w:rFonts w:ascii="Times New Roman" w:hAnsi="Times New Roman" w:cs="Times New Roman"/>
                <w:i/>
                <w:sz w:val="24"/>
                <w:szCs w:val="24"/>
              </w:rPr>
              <w:t xml:space="preserve"> ЗООС</w:t>
            </w:r>
            <w:r w:rsidR="003F7753" w:rsidRPr="00770D6A">
              <w:rPr>
                <w:rFonts w:ascii="Times New Roman" w:hAnsi="Times New Roman" w:cs="Times New Roman"/>
                <w:i/>
                <w:sz w:val="24"/>
                <w:szCs w:val="24"/>
              </w:rPr>
              <w:t>. Същите не попадат и под разпоредбите на чл. 31, ал. 1 от</w:t>
            </w:r>
            <w:r w:rsidRPr="00770D6A">
              <w:rPr>
                <w:rFonts w:ascii="Times New Roman" w:hAnsi="Times New Roman" w:cs="Times New Roman"/>
                <w:i/>
                <w:sz w:val="24"/>
                <w:szCs w:val="24"/>
              </w:rPr>
              <w:t xml:space="preserve"> ЗБР</w:t>
            </w:r>
            <w:r w:rsidR="003F7753" w:rsidRPr="00770D6A">
              <w:rPr>
                <w:rFonts w:ascii="Times New Roman" w:hAnsi="Times New Roman" w:cs="Times New Roman"/>
                <w:i/>
                <w:sz w:val="24"/>
                <w:szCs w:val="24"/>
              </w:rPr>
              <w:t xml:space="preserve"> и за тях не е </w:t>
            </w:r>
            <w:r w:rsidR="003F7753" w:rsidRPr="000A3860">
              <w:rPr>
                <w:rFonts w:ascii="Times New Roman" w:hAnsi="Times New Roman" w:cs="Times New Roman"/>
                <w:i/>
                <w:sz w:val="24"/>
                <w:szCs w:val="24"/>
              </w:rPr>
              <w:t>необходимо провеждане на съгласувателни процедури по реда на Наредбата по чл. 31а от ЗБР“</w:t>
            </w:r>
            <w:r w:rsidR="003F7753" w:rsidRPr="000A3860">
              <w:rPr>
                <w:rFonts w:ascii="Times New Roman" w:hAnsi="Times New Roman" w:cs="Times New Roman"/>
                <w:sz w:val="24"/>
                <w:szCs w:val="24"/>
              </w:rPr>
              <w:t>.</w:t>
            </w:r>
            <w:r w:rsidRPr="000A3860">
              <w:rPr>
                <w:rFonts w:ascii="Times New Roman" w:hAnsi="Times New Roman" w:cs="Times New Roman"/>
                <w:sz w:val="24"/>
                <w:szCs w:val="24"/>
              </w:rPr>
              <w:t xml:space="preserve"> </w:t>
            </w:r>
            <w:r w:rsidR="00DF07AF" w:rsidRPr="000A3860">
              <w:rPr>
                <w:rFonts w:ascii="Times New Roman" w:hAnsi="Times New Roman" w:cs="Times New Roman"/>
                <w:sz w:val="24"/>
                <w:szCs w:val="24"/>
              </w:rPr>
              <w:t>Писмото ще</w:t>
            </w:r>
            <w:r w:rsidRPr="000A3860">
              <w:rPr>
                <w:rFonts w:ascii="Times New Roman" w:hAnsi="Times New Roman" w:cs="Times New Roman"/>
                <w:sz w:val="24"/>
                <w:szCs w:val="24"/>
              </w:rPr>
              <w:t xml:space="preserve"> бъде </w:t>
            </w:r>
            <w:r w:rsidR="00DF07AF" w:rsidRPr="000A3860">
              <w:rPr>
                <w:rFonts w:ascii="Times New Roman" w:hAnsi="Times New Roman" w:cs="Times New Roman"/>
                <w:sz w:val="24"/>
                <w:szCs w:val="24"/>
              </w:rPr>
              <w:t xml:space="preserve">публикувано на </w:t>
            </w:r>
            <w:r w:rsidRPr="000A3860">
              <w:rPr>
                <w:rFonts w:ascii="Times New Roman" w:hAnsi="Times New Roman" w:cs="Times New Roman"/>
                <w:sz w:val="24"/>
                <w:szCs w:val="24"/>
              </w:rPr>
              <w:t xml:space="preserve">общодостъпно за всички потенциални кандидати </w:t>
            </w:r>
            <w:r w:rsidR="00DF07AF" w:rsidRPr="000A3860">
              <w:rPr>
                <w:rFonts w:ascii="Times New Roman" w:hAnsi="Times New Roman" w:cs="Times New Roman"/>
                <w:sz w:val="24"/>
                <w:szCs w:val="24"/>
              </w:rPr>
              <w:t xml:space="preserve">място </w:t>
            </w:r>
            <w:r w:rsidRPr="000A3860">
              <w:rPr>
                <w:rFonts w:ascii="Times New Roman" w:hAnsi="Times New Roman" w:cs="Times New Roman"/>
                <w:sz w:val="24"/>
                <w:szCs w:val="24"/>
              </w:rPr>
              <w:t>с цел улесняване и намаляване на административната тежест.</w:t>
            </w: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sz w:val="24"/>
                <w:szCs w:val="24"/>
              </w:rPr>
            </w:pPr>
          </w:p>
          <w:p w:rsidR="001F355B" w:rsidRDefault="001F355B" w:rsidP="00E5495E">
            <w:pPr>
              <w:spacing w:line="276" w:lineRule="auto"/>
              <w:jc w:val="both"/>
              <w:rPr>
                <w:rFonts w:ascii="Times New Roman" w:hAnsi="Times New Roman" w:cs="Times New Roman"/>
                <w:sz w:val="24"/>
                <w:szCs w:val="24"/>
              </w:rPr>
            </w:pPr>
          </w:p>
          <w:p w:rsidR="00531D7F" w:rsidRPr="00770D6A" w:rsidRDefault="00531D7F" w:rsidP="00E5495E">
            <w:pPr>
              <w:spacing w:line="276" w:lineRule="auto"/>
              <w:jc w:val="both"/>
              <w:rPr>
                <w:rFonts w:ascii="Times New Roman" w:hAnsi="Times New Roman" w:cs="Times New Roman"/>
                <w:sz w:val="24"/>
                <w:szCs w:val="24"/>
              </w:rPr>
            </w:pPr>
          </w:p>
          <w:p w:rsidR="001F355B" w:rsidRPr="00770D6A" w:rsidRDefault="001F355B" w:rsidP="00E5495E">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Не се приема.</w:t>
            </w:r>
          </w:p>
          <w:p w:rsidR="001F355B" w:rsidRPr="00770D6A" w:rsidRDefault="001F355B" w:rsidP="00E5495E">
            <w:pPr>
              <w:spacing w:line="276" w:lineRule="auto"/>
              <w:jc w:val="both"/>
              <w:rPr>
                <w:rFonts w:ascii="Times New Roman" w:hAnsi="Times New Roman" w:cs="Times New Roman"/>
                <w:bCs/>
                <w:sz w:val="24"/>
                <w:szCs w:val="24"/>
              </w:rPr>
            </w:pPr>
            <w:r w:rsidRPr="00770D6A">
              <w:rPr>
                <w:rFonts w:ascii="Times New Roman" w:hAnsi="Times New Roman" w:cs="Times New Roman"/>
                <w:sz w:val="24"/>
                <w:szCs w:val="24"/>
              </w:rPr>
              <w:t xml:space="preserve">По данни от електронната страница на Националния статистически институт (НСИ), на основание чл. 20, ал. 4 във връзка с ал. 3 от Закона за статистиката всички физически лица, които са осъществили стопанска дейност през отчетната година, </w:t>
            </w:r>
            <w:r w:rsidRPr="00770D6A">
              <w:rPr>
                <w:rFonts w:ascii="Times New Roman" w:hAnsi="Times New Roman" w:cs="Times New Roman"/>
                <w:bCs/>
                <w:sz w:val="24"/>
                <w:szCs w:val="24"/>
              </w:rPr>
              <w:t>имат задължение за подаване на Годишен отчет за дейността (ГОД) в НСИ. Задължение да подават ГОД имат само тези физически лица, които извършват стопанска дейност, т.е. реализират продукти или услуги на пазара, а не тези, които произвеждат продукти за собствено потребление. Отчетът, който се попълва от земеделските стопани, е „Годишен отчет за дейността на предприятията, несъставящи баланс“ (НФ1).</w:t>
            </w:r>
          </w:p>
          <w:p w:rsidR="001F355B" w:rsidRPr="00770D6A" w:rsidRDefault="001F355B" w:rsidP="00E5495E">
            <w:pPr>
              <w:spacing w:line="276" w:lineRule="auto"/>
              <w:jc w:val="both"/>
              <w:rPr>
                <w:rFonts w:ascii="Times New Roman" w:hAnsi="Times New Roman" w:cs="Times New Roman"/>
                <w:bCs/>
                <w:sz w:val="24"/>
                <w:szCs w:val="24"/>
              </w:rPr>
            </w:pPr>
            <w:r w:rsidRPr="00770D6A">
              <w:rPr>
                <w:rFonts w:ascii="Times New Roman" w:hAnsi="Times New Roman" w:cs="Times New Roman"/>
                <w:bCs/>
                <w:sz w:val="24"/>
                <w:szCs w:val="24"/>
              </w:rPr>
              <w:t xml:space="preserve">На следния електронен адрес - </w:t>
            </w:r>
            <w:hyperlink r:id="rId8" w:history="1">
              <w:r w:rsidRPr="00770D6A">
                <w:rPr>
                  <w:rStyle w:val="Hyperlink"/>
                  <w:rFonts w:ascii="Times New Roman" w:hAnsi="Times New Roman" w:cs="Times New Roman"/>
                  <w:bCs/>
                  <w:sz w:val="24"/>
                  <w:szCs w:val="24"/>
                </w:rPr>
                <w:t>https://www.nsi.bg/news/godishniyat-otchet-za-deinostta-prez-2022-g-vklyuchitelno-i-na-zemedelskite-stopani-se-podava-v-nsi-do-30-yuni-1441</w:t>
              </w:r>
            </w:hyperlink>
            <w:r w:rsidRPr="00770D6A">
              <w:rPr>
                <w:rFonts w:ascii="Times New Roman" w:hAnsi="Times New Roman" w:cs="Times New Roman"/>
                <w:bCs/>
                <w:sz w:val="24"/>
                <w:szCs w:val="24"/>
              </w:rPr>
              <w:t xml:space="preserve"> са налични разяснения от НСИ по отношение на това задължение и указания за попълването на ГОД.</w:t>
            </w:r>
          </w:p>
          <w:p w:rsidR="001F355B" w:rsidRPr="00770D6A" w:rsidRDefault="001F355B" w:rsidP="00E5495E">
            <w:pPr>
              <w:spacing w:line="276" w:lineRule="auto"/>
              <w:jc w:val="both"/>
              <w:rPr>
                <w:rFonts w:ascii="Times New Roman" w:hAnsi="Times New Roman" w:cs="Times New Roman"/>
                <w:b/>
                <w:bCs/>
                <w:sz w:val="24"/>
                <w:szCs w:val="24"/>
              </w:rPr>
            </w:pPr>
            <w:r w:rsidRPr="00770D6A">
              <w:rPr>
                <w:rFonts w:ascii="Times New Roman" w:hAnsi="Times New Roman" w:cs="Times New Roman"/>
                <w:b/>
                <w:bCs/>
                <w:sz w:val="24"/>
                <w:szCs w:val="24"/>
              </w:rPr>
              <w:t>4. Приема се по принцип.</w:t>
            </w:r>
          </w:p>
          <w:p w:rsidR="001F355B" w:rsidRPr="00770D6A" w:rsidRDefault="001F355B" w:rsidP="00E5495E">
            <w:pPr>
              <w:spacing w:line="276" w:lineRule="auto"/>
              <w:jc w:val="both"/>
              <w:rPr>
                <w:rFonts w:ascii="Times New Roman" w:hAnsi="Times New Roman" w:cs="Times New Roman"/>
                <w:b/>
                <w:sz w:val="24"/>
                <w:szCs w:val="24"/>
              </w:rPr>
            </w:pPr>
            <w:r w:rsidRPr="00770D6A">
              <w:rPr>
                <w:rFonts w:ascii="Times New Roman" w:hAnsi="Times New Roman" w:cs="Times New Roman"/>
                <w:sz w:val="24"/>
                <w:szCs w:val="24"/>
              </w:rPr>
              <w:t>Добавено е уточнение по отношение на подадени идентични заявления за подпомагане в двата приема.</w:t>
            </w:r>
          </w:p>
        </w:tc>
      </w:tr>
      <w:tr w:rsidR="00813D0C" w:rsidRPr="00770D6A" w:rsidTr="00ED5BBF">
        <w:trPr>
          <w:trHeight w:val="70"/>
        </w:trPr>
        <w:tc>
          <w:tcPr>
            <w:tcW w:w="567"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Румяна Благоева</w:t>
            </w:r>
          </w:p>
        </w:tc>
        <w:tc>
          <w:tcPr>
            <w:tcW w:w="1588"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23.10.2025 г.</w:t>
            </w:r>
          </w:p>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13:40</w:t>
            </w:r>
          </w:p>
        </w:tc>
        <w:tc>
          <w:tcPr>
            <w:tcW w:w="5599" w:type="dxa"/>
            <w:shd w:val="clear" w:color="auto" w:fill="auto"/>
          </w:tcPr>
          <w:p w:rsidR="00813D0C" w:rsidRPr="001C1239" w:rsidRDefault="00813D0C" w:rsidP="00813D0C">
            <w:pPr>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В условия за кандидатстване със заявления за подпомагане по Интервенция „II.Д.1. Стартова помощ за установяване на млади земеделски стопани в селското стопанство“, раздел 7 „Допустими кандидати/бенефициенти:“, т. 18 „Когато земята, върху която са разположени културите, включени при определяне на изискуемия минимален икономически размер на стопанството от над 8000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трябва да има имоти, включени в споразумението за масиви, за същия размер на площта на земята, върху която са разположени тези култури, които да са негова собственост и/или да са наети/арендувани с минимален срок на действие пет години, като е допустимо не повече от 24 месеца от срока да е изтекъл към датата на подаване на заявлението за подпомагане.“</w:t>
            </w:r>
          </w:p>
          <w:p w:rsidR="00813D0C" w:rsidRPr="001C1239" w:rsidRDefault="00813D0C" w:rsidP="00813D0C">
            <w:pPr>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Предлагам да се приложи по аналогичен начин и тука условието, а именно ако кандидата има собствена или дългосрочно наета земя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в дадено землище, с която участва в  споразумение за масиви за ползване на земеделските земи, изготвено на основание чл. 37в, ал. 2 от Закона за собствеността и ползването на земеделските земи да може да подаде заявление за създаване на трайни насаждения, капково напояване и др. за същата площ, с която участва в споразумението. По този начин много повече кандидати ще успеят да кандидатстват за създаване на трайни насаждения без да имат комасирани площи.</w:t>
            </w:r>
          </w:p>
          <w:p w:rsidR="00813D0C" w:rsidRPr="001C1239" w:rsidRDefault="00813D0C" w:rsidP="00813D0C">
            <w:pPr>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Също предлагам да отпадне условието за допустимост "кандидатите да са регистрирани като земеделски стопани по реда на ЗПЗП от най – малко 24 месеца преди кандидатстването за подпомагане и да не са прекратявали своята дейност в този период". Считам това условие за дискриминационно, което лишава младите земеделски стопани от възможността да ползват финансиране за първоначални инвестиции при стартиране на дейност.</w:t>
            </w:r>
          </w:p>
        </w:tc>
        <w:tc>
          <w:tcPr>
            <w:tcW w:w="5599" w:type="dxa"/>
            <w:shd w:val="clear" w:color="auto" w:fill="auto"/>
          </w:tcPr>
          <w:p w:rsidR="00813D0C" w:rsidRPr="00D10301" w:rsidRDefault="00813D0C" w:rsidP="00813D0C">
            <w:pPr>
              <w:spacing w:line="276" w:lineRule="auto"/>
              <w:jc w:val="both"/>
              <w:rPr>
                <w:rFonts w:ascii="Times New Roman" w:hAnsi="Times New Roman" w:cs="Times New Roman"/>
                <w:b/>
                <w:sz w:val="24"/>
                <w:szCs w:val="24"/>
              </w:rPr>
            </w:pPr>
            <w:r w:rsidRPr="00D10301">
              <w:rPr>
                <w:rFonts w:ascii="Times New Roman" w:hAnsi="Times New Roman" w:cs="Times New Roman"/>
                <w:b/>
                <w:sz w:val="24"/>
                <w:szCs w:val="24"/>
              </w:rPr>
              <w:t>Приема се частично.</w:t>
            </w:r>
          </w:p>
          <w:p w:rsidR="00813D0C" w:rsidRPr="00D10301" w:rsidRDefault="00813D0C" w:rsidP="00813D0C">
            <w:pPr>
              <w:spacing w:line="276" w:lineRule="auto"/>
              <w:jc w:val="both"/>
              <w:rPr>
                <w:rFonts w:ascii="Times New Roman" w:hAnsi="Times New Roman" w:cs="Times New Roman"/>
                <w:i/>
                <w:sz w:val="24"/>
                <w:szCs w:val="24"/>
              </w:rPr>
            </w:pPr>
            <w:r w:rsidRPr="00D10301">
              <w:rPr>
                <w:rFonts w:ascii="Times New Roman" w:hAnsi="Times New Roman" w:cs="Times New Roman"/>
                <w:sz w:val="24"/>
                <w:szCs w:val="24"/>
              </w:rPr>
              <w:t xml:space="preserve">В чл. 37в, ал. 15 от Закона за собствеността и ползването на земеделските земи е предвидена възможност земеделски земи, включени в масиви за ползване, </w:t>
            </w:r>
            <w:r w:rsidRPr="00D10301">
              <w:rPr>
                <w:rFonts w:ascii="Times New Roman" w:hAnsi="Times New Roman" w:cs="Times New Roman"/>
                <w:i/>
                <w:sz w:val="24"/>
                <w:szCs w:val="24"/>
              </w:rPr>
              <w:t>„да се разпределят на съответните лица без промяна на местоположението, когато:</w:t>
            </w:r>
          </w:p>
          <w:p w:rsidR="00813D0C" w:rsidRPr="00D10301" w:rsidRDefault="00813D0C" w:rsidP="00813D0C">
            <w:pPr>
              <w:spacing w:line="276" w:lineRule="auto"/>
              <w:jc w:val="both"/>
              <w:rPr>
                <w:rFonts w:ascii="Times New Roman" w:hAnsi="Times New Roman" w:cs="Times New Roman"/>
                <w:i/>
                <w:sz w:val="24"/>
                <w:szCs w:val="24"/>
              </w:rPr>
            </w:pPr>
            <w:r w:rsidRPr="00D10301">
              <w:rPr>
                <w:rFonts w:ascii="Times New Roman" w:hAnsi="Times New Roman" w:cs="Times New Roman"/>
                <w:i/>
                <w:sz w:val="24"/>
                <w:szCs w:val="24"/>
              </w:rPr>
              <w:t>1. (отм. - ДВ, бр. 39 от 2024 г., в сила от 01.05.2024 г.)</w:t>
            </w:r>
          </w:p>
          <w:p w:rsidR="00813D0C" w:rsidRPr="00D10301" w:rsidRDefault="00813D0C" w:rsidP="00813D0C">
            <w:pPr>
              <w:spacing w:line="276" w:lineRule="auto"/>
              <w:jc w:val="both"/>
              <w:rPr>
                <w:rFonts w:ascii="Times New Roman" w:hAnsi="Times New Roman" w:cs="Times New Roman"/>
                <w:i/>
                <w:sz w:val="24"/>
                <w:szCs w:val="24"/>
              </w:rPr>
            </w:pPr>
            <w:r w:rsidRPr="00D10301">
              <w:rPr>
                <w:rFonts w:ascii="Times New Roman" w:hAnsi="Times New Roman" w:cs="Times New Roman"/>
                <w:i/>
                <w:sz w:val="24"/>
                <w:szCs w:val="24"/>
              </w:rPr>
              <w:t>2. са представили по реда на чл. 37б за участие в процедурата имоти с регистрирани правни основания за тях с площ, по-голяма или равна на площта, сертифицирана за биологично производство, и/или са представили по реда на чл. 37б за участие в процедурата имоти с площ, по-голяма или равна на площта, за която са одобрени проекти за инвестиции в напоителни системи;</w:t>
            </w:r>
          </w:p>
          <w:p w:rsidR="00813D0C" w:rsidRPr="00D10301" w:rsidRDefault="00813D0C" w:rsidP="00813D0C">
            <w:pPr>
              <w:spacing w:line="276" w:lineRule="auto"/>
              <w:jc w:val="both"/>
              <w:rPr>
                <w:rFonts w:ascii="Times New Roman" w:hAnsi="Times New Roman" w:cs="Times New Roman"/>
                <w:sz w:val="24"/>
                <w:szCs w:val="24"/>
              </w:rPr>
            </w:pPr>
            <w:r w:rsidRPr="00D10301">
              <w:rPr>
                <w:rFonts w:ascii="Times New Roman" w:hAnsi="Times New Roman" w:cs="Times New Roman"/>
                <w:i/>
                <w:sz w:val="24"/>
                <w:szCs w:val="24"/>
              </w:rPr>
              <w:t>3. са заявили желанието си да участват в процедурата за създаване на масиви за ползване по реда на този член.“</w:t>
            </w:r>
            <w:r w:rsidRPr="00D10301">
              <w:rPr>
                <w:rFonts w:ascii="Times New Roman" w:hAnsi="Times New Roman" w:cs="Times New Roman"/>
                <w:sz w:val="24"/>
                <w:szCs w:val="24"/>
              </w:rPr>
              <w:t xml:space="preserve">, като тази възможност е приложима за земи, </w:t>
            </w:r>
            <w:r w:rsidRPr="00D10301">
              <w:rPr>
                <w:rFonts w:ascii="Times New Roman" w:hAnsi="Times New Roman" w:cs="Times New Roman"/>
                <w:i/>
                <w:sz w:val="24"/>
                <w:szCs w:val="24"/>
              </w:rPr>
              <w:t>„сертифицирани за биологично производство и/или за тях са одобрени проекти за инвестиции в напоителни системи по Програмата за развитие на селските райони за периода 2014 - 2020 г. и/или по Стратегическия план за развитие на земеделието и селските райони за програмен период 2023 - 2027 г., и/или по Националния план за възстановяване и устойчивост, и/или такива са изградени със собствени средства“</w:t>
            </w:r>
            <w:r w:rsidRPr="00D10301">
              <w:rPr>
                <w:rFonts w:ascii="Times New Roman" w:hAnsi="Times New Roman" w:cs="Times New Roman"/>
                <w:sz w:val="24"/>
                <w:szCs w:val="24"/>
              </w:rPr>
              <w:t>.</w:t>
            </w:r>
          </w:p>
          <w:p w:rsidR="00813D0C" w:rsidRPr="00D10301" w:rsidRDefault="00813D0C" w:rsidP="00813D0C">
            <w:pPr>
              <w:spacing w:line="276" w:lineRule="auto"/>
              <w:jc w:val="both"/>
              <w:rPr>
                <w:rFonts w:ascii="Times New Roman" w:hAnsi="Times New Roman" w:cs="Times New Roman"/>
                <w:sz w:val="24"/>
                <w:szCs w:val="24"/>
              </w:rPr>
            </w:pPr>
            <w:r w:rsidRPr="00D10301">
              <w:rPr>
                <w:rFonts w:ascii="Times New Roman" w:hAnsi="Times New Roman" w:cs="Times New Roman"/>
                <w:sz w:val="24"/>
                <w:szCs w:val="24"/>
              </w:rPr>
              <w:t>Видно от гореизложеното и предвид факта, че чрез интервенция ІІ.Г.1</w:t>
            </w:r>
            <w:r>
              <w:rPr>
                <w:rFonts w:ascii="Times New Roman" w:hAnsi="Times New Roman" w:cs="Times New Roman"/>
                <w:sz w:val="24"/>
                <w:szCs w:val="24"/>
              </w:rPr>
              <w:t>.1</w:t>
            </w:r>
            <w:r w:rsidRPr="00D10301">
              <w:rPr>
                <w:rFonts w:ascii="Times New Roman" w:hAnsi="Times New Roman" w:cs="Times New Roman"/>
                <w:sz w:val="24"/>
                <w:szCs w:val="24"/>
              </w:rPr>
              <w:t xml:space="preserve">. се предоставя подкрепа за инвестиции в земеделското стопанство на кандидата, в случай на заявление за подпомагане за създаване на трайно насаждение с цел постигане на достатъчна увереност, че подпомогнатата инвестиция ще бъде във владение на кандидата в годините до края на периода на мониторинг, споразумение по чл. 37в от ЗСПЗЗ може да доказва изпълнение на условието по т. 11 от раздел 9.1 от Условията за </w:t>
            </w:r>
            <w:r>
              <w:rPr>
                <w:rFonts w:ascii="Times New Roman" w:hAnsi="Times New Roman" w:cs="Times New Roman"/>
                <w:sz w:val="24"/>
                <w:szCs w:val="24"/>
              </w:rPr>
              <w:t>кандидатстване</w:t>
            </w:r>
            <w:r w:rsidRPr="00D10301">
              <w:rPr>
                <w:rFonts w:ascii="Times New Roman" w:hAnsi="Times New Roman" w:cs="Times New Roman"/>
                <w:sz w:val="24"/>
                <w:szCs w:val="24"/>
              </w:rPr>
              <w:t xml:space="preserve">, </w:t>
            </w:r>
            <w:r w:rsidRPr="00813D0C">
              <w:rPr>
                <w:rFonts w:ascii="Times New Roman" w:hAnsi="Times New Roman" w:cs="Times New Roman"/>
                <w:sz w:val="24"/>
                <w:szCs w:val="24"/>
              </w:rPr>
              <w:t>предвид допустимостта на тази дейност са</w:t>
            </w:r>
            <w:r>
              <w:rPr>
                <w:rFonts w:ascii="Times New Roman" w:hAnsi="Times New Roman" w:cs="Times New Roman"/>
                <w:sz w:val="24"/>
                <w:szCs w:val="24"/>
              </w:rPr>
              <w:t>мо за биологично производство</w:t>
            </w:r>
            <w:r w:rsidRPr="00D10301">
              <w:rPr>
                <w:rFonts w:ascii="Times New Roman" w:hAnsi="Times New Roman" w:cs="Times New Roman"/>
                <w:sz w:val="24"/>
                <w:szCs w:val="24"/>
              </w:rPr>
              <w:t>.</w:t>
            </w:r>
          </w:p>
          <w:p w:rsidR="00813D0C" w:rsidRPr="00D10301" w:rsidRDefault="00813D0C" w:rsidP="00813D0C">
            <w:pPr>
              <w:spacing w:line="276" w:lineRule="auto"/>
              <w:jc w:val="both"/>
              <w:rPr>
                <w:rFonts w:ascii="Times New Roman" w:hAnsi="Times New Roman" w:cs="Times New Roman"/>
                <w:b/>
                <w:sz w:val="24"/>
                <w:szCs w:val="24"/>
              </w:rPr>
            </w:pPr>
            <w:r w:rsidRPr="00D10301">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b/>
                <w:sz w:val="24"/>
                <w:szCs w:val="24"/>
              </w:rPr>
            </w:pPr>
            <w:r w:rsidRPr="00D10301">
              <w:rPr>
                <w:rFonts w:ascii="Times New Roman" w:hAnsi="Times New Roman" w:cs="Times New Roman"/>
                <w:sz w:val="24"/>
                <w:szCs w:val="24"/>
              </w:rPr>
              <w:t>За подкрепа на младите земеделски стопани при стартиране на дейност в Стратегическия план е разработена и се прилага интервенция II.Д.1. „Стартова помощ за установяване на млади земеделски стопани в селското стопанство“.</w:t>
            </w:r>
          </w:p>
        </w:tc>
      </w:tr>
      <w:tr w:rsidR="00813D0C" w:rsidRPr="00770D6A" w:rsidTr="00B51660">
        <w:trPr>
          <w:trHeight w:val="8695"/>
        </w:trPr>
        <w:tc>
          <w:tcPr>
            <w:tcW w:w="567"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5.</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Василен Цветков</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23.10.2025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15:25</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Уважаеми/а,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 да се предвиди възможност за кандидатстване на </w:t>
            </w:r>
            <w:r w:rsidRPr="00770D6A">
              <w:rPr>
                <w:rFonts w:ascii="Times New Roman" w:hAnsi="Times New Roman" w:cs="Times New Roman"/>
                <w:b/>
                <w:bCs/>
                <w:sz w:val="24"/>
                <w:szCs w:val="24"/>
              </w:rPr>
              <w:t>млади фермери</w:t>
            </w:r>
            <w:r w:rsidRPr="00770D6A">
              <w:rPr>
                <w:rFonts w:ascii="Times New Roman" w:hAnsi="Times New Roman" w:cs="Times New Roman"/>
                <w:sz w:val="24"/>
                <w:szCs w:val="24"/>
              </w:rPr>
              <w:t>, които са регистрирани като земеделски стопани по</w:t>
            </w:r>
            <w:r w:rsidRPr="00770D6A">
              <w:rPr>
                <w:rFonts w:ascii="Times New Roman" w:hAnsi="Times New Roman" w:cs="Times New Roman"/>
                <w:sz w:val="24"/>
                <w:szCs w:val="24"/>
              </w:rPr>
              <w:noBreakHyphen/>
              <w:t>малко от 24 месеца преди подаване на заявлението. В публикуваната информация за интервенцията се изисква кандидатите да са регистрирани като земеделски стопани най</w:t>
            </w:r>
            <w:r w:rsidRPr="00770D6A">
              <w:rPr>
                <w:rFonts w:ascii="Times New Roman" w:hAnsi="Times New Roman" w:cs="Times New Roman"/>
                <w:sz w:val="24"/>
                <w:szCs w:val="24"/>
              </w:rPr>
              <w:noBreakHyphen/>
              <w:t>късно 24 месеца преди подаването на заявлението. Това условие е твърде ограничаващо, защото изключва най</w:t>
            </w:r>
            <w:r w:rsidRPr="00770D6A">
              <w:rPr>
                <w:rFonts w:ascii="Times New Roman" w:hAnsi="Times New Roman" w:cs="Times New Roman"/>
                <w:sz w:val="24"/>
                <w:szCs w:val="24"/>
              </w:rPr>
              <w:noBreakHyphen/>
              <w:t>новите фермери, които тепърва създават своите стопанства.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За да се насърчи генерационното обновление и да се даде шанс на новите стопани, предлагам:</w:t>
            </w:r>
          </w:p>
          <w:p w:rsidR="00813D0C" w:rsidRPr="00770D6A" w:rsidRDefault="00813D0C" w:rsidP="00813D0C">
            <w:pPr>
              <w:numPr>
                <w:ilvl w:val="0"/>
                <w:numId w:val="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Премахване или намаляване на изискването за минимален период на регистрация (например до 6 или 12 месеца), за да могат фермери, които са започнали дейност през последните години, да се възползват;</w:t>
            </w:r>
          </w:p>
          <w:p w:rsidR="00813D0C" w:rsidRPr="00770D6A" w:rsidRDefault="00813D0C" w:rsidP="00813D0C">
            <w:pPr>
              <w:numPr>
                <w:ilvl w:val="0"/>
                <w:numId w:val="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Прилагане на допълнителни механизми за проверка на капацитета и жизнеспособността на начинаещите стопани вместо изискването за дългосрочна история;</w:t>
            </w:r>
          </w:p>
          <w:p w:rsidR="00813D0C" w:rsidRPr="00770D6A" w:rsidRDefault="00813D0C" w:rsidP="00813D0C">
            <w:pPr>
              <w:numPr>
                <w:ilvl w:val="0"/>
                <w:numId w:val="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Насърчаване на влизането на нови и иновативни участници в сектора, което ще подпомогне развитието на селските райони.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Така ще се гарантира равнопоставен достъп до финансиране за всички млади фермери и ще се създадат условия за успешен старт на новите земеделски стопанства.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Благодаря!</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B35613">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За подкрепа на младите земеделски стопани при стартиране на дейност в Стратегическия план е разработена и се прилага интервенция II.Д.1. „Стартова помощ за установяване на млади земеделски стопани в селското стопанство“.</w:t>
            </w:r>
          </w:p>
        </w:tc>
      </w:tr>
      <w:tr w:rsidR="00813D0C" w:rsidRPr="00770D6A" w:rsidTr="00ED5BBF">
        <w:trPr>
          <w:trHeight w:val="70"/>
        </w:trPr>
        <w:tc>
          <w:tcPr>
            <w:tcW w:w="567"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6.</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bCs/>
                <w:sz w:val="24"/>
                <w:szCs w:val="24"/>
              </w:rPr>
            </w:pPr>
            <w:r w:rsidRPr="001C1239">
              <w:rPr>
                <w:rFonts w:ascii="Times New Roman" w:hAnsi="Times New Roman" w:cs="Times New Roman"/>
                <w:bCs/>
                <w:sz w:val="24"/>
                <w:szCs w:val="24"/>
              </w:rPr>
              <w:t>Мая К</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24.10.2025</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13:56</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Интервенцията се казва Интервенция „II.Г.1.1 - Инвестиции в земеделските стопанства насочени към опазване на компонентите на околната среда”, но всъщност е насочена само към вече сертифицирани за биологично производство. Тези, които искат да преминат към регенеративно или биологично земеделие или вече го правят, но не са сертифицирани, няма как да се класират, защото изискването е вече да имат сключен договор със сертифициращ орган, с приоритет са 100% сертифицирани или такива в преход. Наличието на сертификат за биологично производство, обаче, не означава непременно, че се опазват компонентите на околната среда. Т.е. ако един конвенционален земеделец иска да премине към опазващи околната среда практики, за което са необходими нов вид техника и подход, не могат да се класират по тази интервенция, ако нямат сертифициране за биологично производство. Би трябвало самото сертифициране да е включено в допустимите разходи.</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B35613">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Сключен договор с контролиращо лице е </w:t>
            </w:r>
            <w:r w:rsidRPr="00770D6A">
              <w:rPr>
                <w:rFonts w:ascii="Times New Roman" w:hAnsi="Times New Roman" w:cs="Times New Roman"/>
                <w:sz w:val="24"/>
                <w:szCs w:val="24"/>
              </w:rPr>
              <w:t xml:space="preserve">условие </w:t>
            </w:r>
            <w:r>
              <w:rPr>
                <w:rFonts w:ascii="Times New Roman" w:hAnsi="Times New Roman" w:cs="Times New Roman"/>
                <w:sz w:val="24"/>
                <w:szCs w:val="24"/>
              </w:rPr>
              <w:t xml:space="preserve">за допустимост </w:t>
            </w:r>
            <w:r w:rsidRPr="00770D6A">
              <w:rPr>
                <w:rFonts w:ascii="Times New Roman" w:hAnsi="Times New Roman" w:cs="Times New Roman"/>
                <w:sz w:val="24"/>
                <w:szCs w:val="24"/>
              </w:rPr>
              <w:t xml:space="preserve">само за първата от допустимите дейности – биологично земеделие. </w:t>
            </w:r>
            <w:r>
              <w:rPr>
                <w:rFonts w:ascii="Times New Roman" w:hAnsi="Times New Roman" w:cs="Times New Roman"/>
                <w:sz w:val="24"/>
                <w:szCs w:val="24"/>
              </w:rPr>
              <w:t>За инвестиции по дейност 2.2 от Раздел 9. „</w:t>
            </w:r>
            <w:r w:rsidRPr="005836E5">
              <w:rPr>
                <w:rFonts w:ascii="Times New Roman" w:hAnsi="Times New Roman" w:cs="Times New Roman"/>
                <w:sz w:val="24"/>
                <w:szCs w:val="24"/>
              </w:rPr>
              <w:t>Допустими дейности/инвестиции</w:t>
            </w:r>
            <w:r>
              <w:rPr>
                <w:rFonts w:ascii="Times New Roman" w:hAnsi="Times New Roman" w:cs="Times New Roman"/>
                <w:sz w:val="24"/>
                <w:szCs w:val="24"/>
              </w:rPr>
              <w:t xml:space="preserve">“ не е задължително </w:t>
            </w:r>
            <w:r w:rsidRPr="005836E5">
              <w:rPr>
                <w:rFonts w:ascii="Times New Roman" w:hAnsi="Times New Roman" w:cs="Times New Roman"/>
                <w:sz w:val="24"/>
                <w:szCs w:val="24"/>
              </w:rPr>
              <w:t xml:space="preserve">кандидатите </w:t>
            </w:r>
            <w:r>
              <w:rPr>
                <w:rFonts w:ascii="Times New Roman" w:hAnsi="Times New Roman" w:cs="Times New Roman"/>
                <w:sz w:val="24"/>
                <w:szCs w:val="24"/>
              </w:rPr>
              <w:t xml:space="preserve">да </w:t>
            </w:r>
            <w:r w:rsidRPr="005836E5">
              <w:rPr>
                <w:rFonts w:ascii="Times New Roman" w:hAnsi="Times New Roman" w:cs="Times New Roman"/>
                <w:sz w:val="24"/>
                <w:szCs w:val="24"/>
              </w:rPr>
              <w:t>имат сключен договор с контролиращо лице, получило разрешение от министъра на земеделието и храните да осъществява контрол за съответствие на биологичното производство</w:t>
            </w:r>
            <w:r>
              <w:rPr>
                <w:rFonts w:ascii="Times New Roman" w:hAnsi="Times New Roman" w:cs="Times New Roman"/>
                <w:sz w:val="24"/>
                <w:szCs w:val="24"/>
              </w:rPr>
              <w:t>.</w:t>
            </w:r>
          </w:p>
        </w:tc>
      </w:tr>
      <w:tr w:rsidR="00813D0C" w:rsidRPr="00770D6A" w:rsidTr="00ED5BBF">
        <w:trPr>
          <w:trHeight w:val="70"/>
        </w:trPr>
        <w:tc>
          <w:tcPr>
            <w:tcW w:w="567"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Pr="00770D6A">
              <w:rPr>
                <w:rFonts w:ascii="Times New Roman" w:hAnsi="Times New Roman" w:cs="Times New Roman"/>
                <w:sz w:val="24"/>
                <w:szCs w:val="24"/>
              </w:rPr>
              <w:t>.</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Съюза на Дунавските Овощари и Добруджански Овощарски Съюз</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26.10.2025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11:59</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12:01</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12:08</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12:11</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13:24</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УВАЖАЕМА ГОСПОЖО ЗАМЕСТНИК-МИНИСТЪР,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Приложено Ви изпращам предложения и коментари от Съюза на Дунавските Овощари и Добруджански Овощарски Съюз по отношение на предложенията на УО на СПРЗСР 2023-2027 г. за условия за кандидатстване за прием на заявления за подпомагане по интервенции II.Г.1 и II.Г.1.1, както следва: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9.2. Недопустими разходи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19. Разходи за мобилни/преместваеми инсталации за производство и/или съхранение на енергия от ВЕИ.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ПРЕДЛОЖЕНИЕ да са допустими за финансиране със задължителни дигитални устройства за проследяване Разходи за мобилни/преместваеми инсталации за производство и/или съхранение на енергия от ВЕИ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МОТИВИ: С решението на Конституционния съд за забрана изграждането на ФВЦ на земеделски земи по Наредба 19, земеделските производители, чийто стопанства нямат достъп до електропреносната мрежа на страната, остават без възможност да си осигурят енергия от Соларни системи. Ползването на дизелови агрегати за нуждите на земеделското производство е скъпа и замърсяващо околната среда дейност. Мобилните фотоволтаични централи се използват в различни сфери като: осигуряване на ел. енергия за захранване на сондажни кладенци и хладилни контейнери и дронове, в овощни градини; Осигуряване на ел. енергия на животновъдни обекти за доилни инсталации, хладилни вани за съхранение на мляко, , фуражни кухни, автономни роботи , вода за напояване на животните, осигуряване на захранване за центрофугите за пчелен мед и други дейности в селското стопанство.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11.2. Методика за прилагане на критериите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6. За получаване на предимство по критерий 4.1 се взема предвид оперативната печалба на кандидата от последните три завършени финансови години (2022, 2023 и 2024 г.), която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минус стойността от Раздел А, т. I „Разходи за оперативна дейност”, ред „Общо за група I”, (код 10000) от разходната част на ОПР за съответната финансова година плюс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(2022, 2023 и 2024 г.) с помощта на лист „4. Оперативна печалба“ от Приложение № 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ПРЕДЛОЖЕНИЕ: Да се добави За получаване на предимство по критерий 4.1 се взема предвид оперативната печалба на членовете на ГОП от последните три завършени финансови години (2022, 2023 и 2024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МОТИВИ: Обсъждайки закона за агрохранителната верига видяхме че на пазара няма българска продукция, защото нямаме кооперативи и предлагане на достатъчни количества продукция за големите търговски вериги . Стопанствата от сектора за малки по размер и нямат достъп до тези пазари. Единственият път за тяхното устойчиво развитие е кооперирането.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Предлагайки 15 точки за признати ГОП, УО на СПРЗСР 2023-2027 г отчита че е дало приоритет на тези кооперативи но с не възможността да получат точките по финансовият показател, на практика дерогира приоритета (защото ГОП реализират печалната за своите членове и нямат оперативна печалба на организацията, те са на комисионни договори които им покриват издръжката)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На ТРГ с браншовите организации беше прието нашето предложение За кандидати ГОП За получаване на предимство по критерий 4.1 да се взема предвид оперативната печалба на членовете на ГОП от последните три завършени финансови години (2022, 2023 и 2024 г.). Като се пое ангажимент за писмена процедура на КН за допълване на финансовият критерий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ГОП не могат да получат точки по следните Критериите за подбор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1,2 за обхванати от схеми за качество – 5точки.;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2 за хуманното отношение към животните -8 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4,1 за Финансовото състояние на кандидата -15точки.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5,1 от кандидат от 18 до 40 години включително. – 5 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5,2 кандидати на територията на райони с природни и други ограничения – 5 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На практика така предложените за обществено обсъждане Критерии за подбор, по които ще бъдат класирани постъпилите заявления за подпомагане , оставя проектите за Колективните инвестиции на ГОП с по малък брой точки от индивидуалните проекти на съдружниците в тези организации. Това ще даде по голяма възможност за финансиране на индивидуалните проекти на съдружниците а не на колективната инвестиция.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Приложените коментари и предложения са по интервенции II.Г.1 да се приемат и за идентичните критерии по условия за кандидатстване за прием на заявления за подпомагане по интервенции II.Г.1.1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Условията за кандидатстване преместваемите обекти са допустими при представяне на изискуемите документи за това.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допълнение, при определяне на допустимите/недопустимите дейности са взети предвид анализите при подготовка на стратегическия план, идентифицираните потребности и опита от прилагане на мярката в предходни програмни периоди. Условията целят ефективно насочване на подкрепата към дейности с по-висока добавена стойност за повишаване конкурентоспособността на земеделските стопани.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Част от условията са включени за намаляване риска от изкуствено създаване на условия, противоречащи на целите на мярката.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са приети след задълбочени дискусии със заинтересованите страни, в които са взети предвид анализите при подготовка на стратегическия план, идентифицираните потребности и е търсен баланс между различните приоритети. Критерии за подбор по т. 3 „Проекти, насърчаващи кооперирането и интеграцията между земеделските производители“ е специално фокусиран към групите и организациите на производители и дава предимство пред останалите кандидати. Следва да се отбележи, че критерии 3 е след приоритетите с най-висока относителна тежест.</w:t>
            </w:r>
          </w:p>
        </w:tc>
      </w:tr>
      <w:tr w:rsidR="00813D0C" w:rsidRPr="00770D6A" w:rsidTr="00ED5BBF">
        <w:trPr>
          <w:trHeight w:val="70"/>
        </w:trPr>
        <w:tc>
          <w:tcPr>
            <w:tcW w:w="567" w:type="dxa"/>
            <w:shd w:val="clear" w:color="auto" w:fill="auto"/>
          </w:tcPr>
          <w:p w:rsidR="00813D0C" w:rsidRPr="00770D6A" w:rsidRDefault="00D51BA9"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highlight w:val="yellow"/>
              </w:rPr>
            </w:pPr>
            <w:r w:rsidRPr="00770D6A">
              <w:rPr>
                <w:rFonts w:ascii="Times New Roman" w:hAnsi="Times New Roman" w:cs="Times New Roman"/>
                <w:sz w:val="24"/>
                <w:szCs w:val="24"/>
                <w:highlight w:val="yellow"/>
              </w:rPr>
              <w:t>Л. Емилова</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27.10.2025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09:36</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публикувано обществено обсъждане по настоящата процедура, бих искала да внеса следните предложения за изменения: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Съгласно Раздел 8.1., т. </w:t>
            </w:r>
            <w:r w:rsidRPr="00770D6A">
              <w:rPr>
                <w:rFonts w:ascii="Times New Roman" w:hAnsi="Times New Roman" w:cs="Times New Roman"/>
                <w:b/>
                <w:bCs/>
                <w:sz w:val="24"/>
                <w:szCs w:val="24"/>
              </w:rPr>
              <w:t xml:space="preserve">1.2.1. </w:t>
            </w:r>
            <w:r w:rsidRPr="00770D6A">
              <w:rPr>
                <w:rFonts w:ascii="Times New Roman" w:hAnsi="Times New Roman" w:cs="Times New Roman"/>
                <w:sz w:val="24"/>
                <w:szCs w:val="24"/>
              </w:rPr>
              <w:t>За кандидати,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изпълнението на условието се проследява за 24 месеца преди настъпване на събитието.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Предложение 1</w:t>
            </w:r>
            <w:r w:rsidRPr="00770D6A">
              <w:rPr>
                <w:rFonts w:ascii="Times New Roman" w:hAnsi="Times New Roman" w:cs="Times New Roman"/>
                <w:sz w:val="24"/>
                <w:szCs w:val="24"/>
              </w:rPr>
              <w:t xml:space="preserve">: Да се добави текст, който явно да потвърждава, че т. 1.2.1 включва и че </w:t>
            </w:r>
            <w:r w:rsidRPr="00770D6A">
              <w:rPr>
                <w:rFonts w:ascii="Times New Roman" w:hAnsi="Times New Roman" w:cs="Times New Roman"/>
                <w:i/>
                <w:iCs/>
                <w:sz w:val="24"/>
                <w:szCs w:val="24"/>
              </w:rPr>
              <w:t>"в следствие на непреодолима сила – смърт на бенефициент, историята му ще се признае и за новорегистриран земеделски производител, който е наследник/правоприемник на стопанството."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Аналогично да могат да се предоставят и точки за печалби, вземайки предвид историята на новия (наследник/правоприемник) и стария (починал) земеделски производител.</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Предложение 2: </w:t>
            </w:r>
            <w:r w:rsidRPr="00770D6A">
              <w:rPr>
                <w:rFonts w:ascii="Times New Roman" w:hAnsi="Times New Roman" w:cs="Times New Roman"/>
                <w:i/>
                <w:iCs/>
                <w:sz w:val="24"/>
                <w:szCs w:val="24"/>
              </w:rPr>
              <w:t>Към Раздел 11.2 да се добави т. 6.3. "За кандидати, новорегистрирани с цел онаследяване на починал земеделски производител, за липсващите години на дейност се използват данните от ОПР на лицето, за което са признати обстоятелствата за история като земеделски стопанин за годинити, когато лицето е действащо.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Признаването на това обстоятелство е важно, за да се продължи приемствеността и да не се лишават наследниците, които и без това са в трудна позиция лична и професионална от гледна точка на усвояване и стабилизиране на земеделското стопанство, от възможността да развиват стопанството.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2</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Раздел 9, т. 1 Подкрепа се предоставя за материални и нематериални инвестиции в съществуващи земеделски стопанства за покриване нуждите на същите, </w:t>
            </w:r>
            <w:r w:rsidRPr="00770D6A">
              <w:rPr>
                <w:rFonts w:ascii="Times New Roman" w:hAnsi="Times New Roman" w:cs="Times New Roman"/>
                <w:b/>
                <w:bCs/>
                <w:sz w:val="24"/>
                <w:szCs w:val="24"/>
              </w:rPr>
              <w:t>съобразени с техният капацитет...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Предложение 1: </w:t>
            </w:r>
            <w:r w:rsidRPr="00770D6A">
              <w:rPr>
                <w:rFonts w:ascii="Times New Roman" w:hAnsi="Times New Roman" w:cs="Times New Roman"/>
                <w:sz w:val="24"/>
                <w:szCs w:val="24"/>
              </w:rPr>
              <w:t>Да се премахне "съобразен с техния капацитет" – тъй като по този начин се ограничава инвестиции към нови ферми, разширение, създаване на трайни насаждения и др.</w:t>
            </w:r>
          </w:p>
          <w:p w:rsidR="00813D0C"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3</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Раздел 9.1., т. 10.2. Данните за броя и вида на животните, посочени в бизнес плана се доказва към дата на подаване на заявлението: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"а) чрез служебна справка в Регистър животни и пчелини.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 и/или"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Това е ощетяващо при птици, свине, телета. Никой не може да гарантира, че към дата на проверка в регистъра (неизвестно кога ще е тя), в стопанството ще има налични птици, може да са преди следващо зареждане. При свинете (като изключим свинете майки) е същото – да се съобрази с капацитета на животновъдния обект. Изпълняват се проекти по 4.1 например, с капацитет 200 крави, като към момента животните са 120, но дружеството е заложила в бизнес плана към 3та година да са 200. Същото е и тук. Би следвало, когато не е за разширение, вида и броя на отглежданите животни да се съобрази с капацитета.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Предложение: да се прецизира текста, както следва: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Данните за броя и вида на животните, посочени в бизнес плана не трябва да превишава капацитета на регистрирания животновъден обект, съглансо Удостоверение за регистрация на ЖО по реда на чл. 137 от ЗВД.</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4</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Раздел 9.1., т. 11.2 </w:t>
            </w:r>
            <w:r w:rsidRPr="00770D6A">
              <w:rPr>
                <w:rFonts w:ascii="Times New Roman" w:hAnsi="Times New Roman" w:cs="Times New Roman"/>
                <w:b/>
                <w:bCs/>
                <w:sz w:val="24"/>
                <w:szCs w:val="24"/>
              </w:rPr>
              <w:t>11.2.</w:t>
            </w:r>
            <w:r w:rsidRPr="00770D6A">
              <w:rPr>
                <w:rFonts w:ascii="Times New Roman" w:hAnsi="Times New Roman" w:cs="Times New Roman"/>
                <w:sz w:val="24"/>
                <w:szCs w:val="24"/>
              </w:rPr>
              <w:t xml:space="preserve"> документ за ползване на имота/обекта за срок не по-малко от 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 – в случай на кандидатстване за разходи за: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създаване и/или презасаждане на трайни насаждения.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Предложение</w:t>
            </w:r>
            <w:r w:rsidRPr="00770D6A">
              <w:rPr>
                <w:rFonts w:ascii="Times New Roman" w:hAnsi="Times New Roman" w:cs="Times New Roman"/>
                <w:sz w:val="24"/>
                <w:szCs w:val="24"/>
              </w:rPr>
              <w:t>: Да се заложи за създаване на трайни насаждения документите за ползване да могат да бъдат от следваща стопанска година, тъй като:</w:t>
            </w:r>
          </w:p>
          <w:p w:rsidR="00813D0C" w:rsidRPr="00770D6A" w:rsidRDefault="00813D0C" w:rsidP="00813D0C">
            <w:pPr>
              <w:numPr>
                <w:ilvl w:val="0"/>
                <w:numId w:val="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Създаването на трайни насаждения обикновено е по-дълъг процес, в който трябва да се заяви по-рано посадъчен материал, което същевременно трябва да се извърши най-рано след проверка на място. Не е необходимо и към настоящия момент земята да се обработва от кандидата.</w:t>
            </w:r>
          </w:p>
          <w:p w:rsidR="00813D0C" w:rsidRPr="00770D6A" w:rsidRDefault="00813D0C" w:rsidP="00813D0C">
            <w:pPr>
              <w:numPr>
                <w:ilvl w:val="0"/>
                <w:numId w:val="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Често, земята вече е заявена от друг и няма възможност да се направи договор от настоящия момент.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5:</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Въпрос: </w:t>
            </w:r>
            <w:r w:rsidRPr="00770D6A">
              <w:rPr>
                <w:rFonts w:ascii="Times New Roman" w:hAnsi="Times New Roman" w:cs="Times New Roman"/>
                <w:sz w:val="24"/>
                <w:szCs w:val="24"/>
              </w:rPr>
              <w:t>Раздел 9.1., т. 14.4. – Допустимо ли е закупуването само на батерии, към съществуваща ФЕЦ, която е за собствени нужди и продажба, като в анализ се защити батерията само със собствените нужди на стопанството?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6:</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Раздел 10.2 Недопустими разходи, т. </w:t>
            </w:r>
            <w:r w:rsidRPr="00770D6A">
              <w:rPr>
                <w:rFonts w:ascii="Times New Roman" w:hAnsi="Times New Roman" w:cs="Times New Roman"/>
                <w:b/>
                <w:bCs/>
                <w:sz w:val="24"/>
                <w:szCs w:val="24"/>
              </w:rPr>
              <w:t>21.</w:t>
            </w:r>
            <w:r w:rsidRPr="00770D6A">
              <w:rPr>
                <w:rFonts w:ascii="Times New Roman" w:hAnsi="Times New Roman" w:cs="Times New Roman"/>
                <w:sz w:val="24"/>
                <w:szCs w:val="24"/>
              </w:rPr>
              <w:t xml:space="preserve"> Разходи в напоителни системи/инсталации, които не са свързани с напояване на земеделски земи за производство на селскостопански продукти и дейностите, произтичащи от това;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Това изключва напоителни системи/инсталации, свързани с животновъдството, които са описани като допустими.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7</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3. Критерий 2.1. – в Раздел 10.2. Методика за прилагане на критерий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Не е описано как ще се доказва този критерий. Не пише, че критерият трябва да се спазва и по време на мониторинга. Не пише и с какви документи се доказва. Така всеки, отглеждащ млечни крави, може да сключи договор с производител на "кисело мляко БДС" за доставка, да вземе точки и после да не го спазва.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създаде текст: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За производството на суровини, включени в представения бизнес план, които се влагат в производството на продукти и храни, за които кандидатът е доставчик на преработвател, който е вписан в съответния регистър на производители на продукти, вписани по европейските схеми за качество, да се предостави договор между кандидата и преработвателя за периода на мониторинг на бизнес плана. Кандидатите, получили точки по настоящия критерий се задължават да поддържат съответствие с него до края на периода на мониторинг.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Договорът с преработвател</w:t>
            </w:r>
            <w:r w:rsidRPr="00770D6A">
              <w:rPr>
                <w:rFonts w:ascii="Times New Roman" w:hAnsi="Times New Roman" w:cs="Times New Roman"/>
                <w:sz w:val="24"/>
                <w:szCs w:val="24"/>
              </w:rPr>
              <w:t xml:space="preserve"> да се добави в изискуемите документи на етап кандидатстване.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Раздел 10.2. Методика за прилагане на критерий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13.3 В случай, че заявления за подпомагане имат равен брой точки по посочения в т. 13.2 критерий, същите ще бъдат класирани в низходящ ред съобразно получения брой точки по критерий 1.1. „Заявления за подпомагане, насочени към производство на биологични продукти“.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 положение, че биологичните производители могат да кандидатстват по интервенция II.Г.1.1. не е ли по-редно, тук точките им да не са на трета позиция като важност. Да се даде приоритет на Финансово състояние на кандидата, а биологичното производство да отиде към крайните позиции.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8</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Земеделското стопанство е участвало в СЗСИ/СИУЗС и е в информационната система за устойчивостта на земеделските стопанства (ИСУЗС) преди 01.01.2025 г. Кандидатите могат да направят справка за съответствие с критерия на следния електронен адрес: </w:t>
            </w:r>
            <w:hyperlink r:id="rId9" w:history="1">
              <w:r w:rsidRPr="00770D6A">
                <w:rPr>
                  <w:rStyle w:val="Hyperlink"/>
                  <w:rFonts w:ascii="Times New Roman" w:hAnsi="Times New Roman" w:cs="Times New Roman"/>
                  <w:sz w:val="24"/>
                  <w:szCs w:val="24"/>
                </w:rPr>
                <w:t>https://www.fadn.bg/</w:t>
              </w:r>
            </w:hyperlink>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 регистрация в тази система изписва "Нямате нужните права, за да отворите този ресурс". Как ще проверяват земеделските производители този критерий?</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Точка 9</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Винени лозя да се добавят в приоритетни култури. Въпреки че има отделна интервенция Конверсия на винени лозя, тя не покрива инвестиции като закупуване на земеделска техника и мрежи за градушки. Секторът на виненото лозарство е </w:t>
            </w:r>
            <w:r w:rsidRPr="00770D6A">
              <w:rPr>
                <w:rFonts w:ascii="Times New Roman" w:hAnsi="Times New Roman" w:cs="Times New Roman"/>
                <w:b/>
                <w:bCs/>
                <w:sz w:val="24"/>
                <w:szCs w:val="24"/>
              </w:rPr>
              <w:t>капиталоемък и дългосрочен</w:t>
            </w:r>
            <w:r w:rsidRPr="00770D6A">
              <w:rPr>
                <w:rFonts w:ascii="Times New Roman" w:hAnsi="Times New Roman" w:cs="Times New Roman"/>
                <w:sz w:val="24"/>
                <w:szCs w:val="24"/>
              </w:rPr>
              <w:t>, което означава:</w:t>
            </w:r>
          </w:p>
          <w:p w:rsidR="00813D0C" w:rsidRPr="00770D6A" w:rsidRDefault="00813D0C" w:rsidP="00813D0C">
            <w:pPr>
              <w:numPr>
                <w:ilvl w:val="0"/>
                <w:numId w:val="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нужни са </w:t>
            </w:r>
            <w:r w:rsidRPr="00770D6A">
              <w:rPr>
                <w:rFonts w:ascii="Times New Roman" w:hAnsi="Times New Roman" w:cs="Times New Roman"/>
                <w:b/>
                <w:bCs/>
                <w:sz w:val="24"/>
                <w:szCs w:val="24"/>
              </w:rPr>
              <w:t>значителни инвестиции</w:t>
            </w:r>
            <w:r w:rsidRPr="00770D6A">
              <w:rPr>
                <w:rFonts w:ascii="Times New Roman" w:hAnsi="Times New Roman" w:cs="Times New Roman"/>
                <w:sz w:val="24"/>
                <w:szCs w:val="24"/>
              </w:rPr>
              <w:t xml:space="preserve"> за механизация, дигитализация и др.</w:t>
            </w:r>
          </w:p>
          <w:p w:rsidR="00813D0C" w:rsidRPr="00770D6A" w:rsidRDefault="00813D0C" w:rsidP="00813D0C">
            <w:pPr>
              <w:numPr>
                <w:ilvl w:val="0"/>
                <w:numId w:val="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конкуренцията е </w:t>
            </w:r>
            <w:r w:rsidRPr="00770D6A">
              <w:rPr>
                <w:rFonts w:ascii="Times New Roman" w:hAnsi="Times New Roman" w:cs="Times New Roman"/>
                <w:b/>
                <w:bCs/>
                <w:sz w:val="24"/>
                <w:szCs w:val="24"/>
              </w:rPr>
              <w:t>висока</w:t>
            </w:r>
            <w:r w:rsidRPr="00770D6A">
              <w:rPr>
                <w:rFonts w:ascii="Times New Roman" w:hAnsi="Times New Roman" w:cs="Times New Roman"/>
                <w:sz w:val="24"/>
                <w:szCs w:val="24"/>
              </w:rPr>
              <w:t xml:space="preserve"> както вътре в страната, така и на международните пазари;</w:t>
            </w:r>
          </w:p>
          <w:p w:rsidR="00813D0C" w:rsidRPr="00770D6A" w:rsidRDefault="00813D0C" w:rsidP="00813D0C">
            <w:pPr>
              <w:numPr>
                <w:ilvl w:val="0"/>
                <w:numId w:val="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климатичните промени създават </w:t>
            </w:r>
            <w:r w:rsidRPr="00770D6A">
              <w:rPr>
                <w:rFonts w:ascii="Times New Roman" w:hAnsi="Times New Roman" w:cs="Times New Roman"/>
                <w:b/>
                <w:bCs/>
                <w:sz w:val="24"/>
                <w:szCs w:val="24"/>
              </w:rPr>
              <w:t>нови рискове</w:t>
            </w:r>
            <w:r w:rsidRPr="00770D6A">
              <w:rPr>
                <w:rFonts w:ascii="Times New Roman" w:hAnsi="Times New Roman" w:cs="Times New Roman"/>
                <w:sz w:val="24"/>
                <w:szCs w:val="24"/>
              </w:rPr>
              <w:t>, изискващи адаптация (нови сортове, устойчиви практики)</w:t>
            </w:r>
          </w:p>
          <w:p w:rsidR="00813D0C" w:rsidRPr="00770D6A" w:rsidRDefault="00813D0C" w:rsidP="00813D0C">
            <w:pPr>
              <w:numPr>
                <w:ilvl w:val="0"/>
                <w:numId w:val="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липсата на работна ръка изисква повече инвестиции в механизация</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1.1.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Загубата на производствения потенциал касае погиване на производствените активи – насаждения и/или стада – вследствие на което земеделският стопанин не може да произведе селскостопанска продукция и да реализира приходи от нея, въпреки положените грижи при упражняване на земеделската си дейност.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От друга страна, целта на условието за „история“ на кандидата като земеделски стопанин е идентифициране на такива, притежаващи опит в земеделието.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Помощта по интервенцията е предвидена за подпомагане развитието на земеделските стопанства на кандидатите, ето защо заявените за подпомагане активи следва да са съобразени с техния капацитет. Това съответствие се оценява спрямо данните от представения към заявлението за подпомагане бизнес план, който отразява развитието след реализирането на инвестициите, включително </w:t>
            </w:r>
            <w:r w:rsidRPr="00770D6A">
              <w:rPr>
                <w:rFonts w:ascii="Times New Roman" w:hAnsi="Times New Roman" w:cs="Times New Roman"/>
                <w:i/>
                <w:sz w:val="24"/>
                <w:szCs w:val="24"/>
              </w:rPr>
              <w:t>„нови ферми, разширение, създаване на трайни насаждения и др.“</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Текстовете са прецизирани.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УО обръща внимание, че 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се определя срок за тяхното отстраняване. В този случай кандидатът може да предостави данни за оборота на стадото и/или настъпили природни бедствия или катастрофични събития, довели до несъответствието с наличните в Регистъра брой и вид на животните.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Приема се.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Текстовете са прецизирани.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5. Бележката не съдържа предложение или коментар по проекта на насоки.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Бележката не съдържа предложение или коментар по проекта на насоки.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 21 не се отнася за системи за поене на животни, които са допустим разход. Дефиницията на „Напоителна инсталация/ система за напояване“ не обхваща доставка, разпределяне, пречистване на вода в животновъдни обекти. Обръщам внимание, че съгласно т. 10 от раздел 11.2. „Методика за прилагане на критериите за подбор“ е предоставен приоритет на инвестиции за осигуряване на вода за нуждите на животновъдни обекти.</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7.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За доказване на съответствие с този критерий в т. 2 от раздел 11.2. „Методика за прилагане на критериите за подбор“ от Условията за кандидатстване е предвидено извършването на служебни проверки и представянето на действащ договор за доставка на суровини с преработвател, вписан в съответния регистър на производители на продукти, вписани по европейските схеми за качество, в едно с приемо-предавателни протоколи и фактури за извършените доставки съгласно т. 1 от раздел 12.2. „Допълнителни документи, доказващи съответствие с приоритет по критериите за оценка“ от УК.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т. 14 от раздел 11.2. „Методика за прилагане на критериите за подбор“ от Условията за кандидатстване е описано изрично задължение на кандидатите за поддържане на съответствие с критериите, които са станали основание за одобрение на кандидата пред други кандидати. В т. 5.2.2. от раздел А. „Техническо изпълнение на заявленията за подпомагане“ от Условията за изпълнение е предвидено специфично изискване за поддържане на посочения критерий.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допълнение, следва да се има предвид, че </w:t>
            </w:r>
            <w:r w:rsidRPr="00770D6A">
              <w:rPr>
                <w:rFonts w:ascii="Times New Roman" w:hAnsi="Times New Roman" w:cs="Times New Roman"/>
                <w:i/>
                <w:sz w:val="24"/>
                <w:szCs w:val="24"/>
              </w:rPr>
              <w:t>"кисело мляко БДС"</w:t>
            </w:r>
            <w:r w:rsidRPr="00770D6A">
              <w:rPr>
                <w:rFonts w:ascii="Times New Roman" w:hAnsi="Times New Roman" w:cs="Times New Roman"/>
                <w:sz w:val="24"/>
                <w:szCs w:val="24"/>
              </w:rPr>
              <w:t xml:space="preserve"> не попада в обхвата на европейските схеми за качество.</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УО не намира основание за коригиране на поредността на критериите за оценка, имайки предвид, че заедно с напояването един от основните приоритети на МЗХ е развитието на биологичното производство, ефектите от което са свързани с биоразнообразието, опазването на качеството на почвата и водите, производството на чисти и здравословни храни, осигуряване на заетост в планински и изостанали райони.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8. Бележката не съдържа предложение или коментар по проекта на насоки.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Възможността за извършване на електронна справка за участие в СЗСИ/СИУЗС е в процес на разработване и тестване.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E05E9F" w:rsidRDefault="00E05E9F" w:rsidP="00813D0C">
            <w:pPr>
              <w:spacing w:line="276" w:lineRule="auto"/>
              <w:jc w:val="both"/>
              <w:rPr>
                <w:rFonts w:ascii="Times New Roman" w:hAnsi="Times New Roman" w:cs="Times New Roman"/>
                <w:sz w:val="24"/>
                <w:szCs w:val="24"/>
              </w:rPr>
            </w:pPr>
          </w:p>
          <w:p w:rsidR="00E05E9F" w:rsidRPr="00770D6A" w:rsidRDefault="00E05E9F"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9.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Списъка с приоритетните култури е разглеждан на заседание на Тематична работна група на 14.08.2025 г. и е приет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в СПРЗСР е включена интервенция I.Д.2 - Инвестиции в лозаро-винарския сектор.</w:t>
            </w:r>
          </w:p>
        </w:tc>
      </w:tr>
      <w:tr w:rsidR="00813D0C" w:rsidRPr="00770D6A" w:rsidTr="00ED5BBF">
        <w:trPr>
          <w:trHeight w:val="70"/>
        </w:trPr>
        <w:tc>
          <w:tcPr>
            <w:tcW w:w="567"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9.</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highlight w:val="yellow"/>
              </w:rPr>
            </w:pPr>
            <w:r w:rsidRPr="00770D6A">
              <w:rPr>
                <w:rFonts w:ascii="Times New Roman" w:hAnsi="Times New Roman" w:cs="Times New Roman"/>
                <w:sz w:val="24"/>
                <w:szCs w:val="24"/>
                <w:highlight w:val="yellow"/>
              </w:rPr>
              <w:t>АСОЦИАЦИЯ НА ПРОМИШЛЕНОТО ПТИЦЕВЪДСТВО</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29/10/2025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20:51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Бихме искали да Ви представим предложения и коментари от Асоциация на промишленото птицевъдство по отношение на предложенията на УО на СПРЗСР 2023-2027 г. за условия за кандидатстване за прием на заявления за подпомагане по интервенции II.Г.1 и II.Г.1.1, да се променят както следва: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4.1. Финансовото състояние на кандидата </w:t>
            </w:r>
            <w:r w:rsidRPr="00770D6A">
              <w:rPr>
                <w:rFonts w:ascii="Times New Roman" w:hAnsi="Times New Roman" w:cs="Times New Roman"/>
                <w:sz w:val="24"/>
                <w:szCs w:val="24"/>
              </w:rPr>
              <w:t xml:space="preserve">- Да се промени начина на отчитане на критерия като за групи и организации на производители да се взема предвид финансовия критерии на техните членове.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Предложение</w:t>
            </w:r>
            <w:r w:rsidRPr="00770D6A">
              <w:rPr>
                <w:rFonts w:ascii="Times New Roman" w:hAnsi="Times New Roman" w:cs="Times New Roman"/>
                <w:sz w:val="24"/>
                <w:szCs w:val="24"/>
              </w:rPr>
              <w:t>: Точките по критерия зависят от съотношението (К) между:</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Заявената стойност на заявлението за подпомагане и средноаритметичния размер на оперативната печалба за последните три завършени финансови години (2022, 2023 и 2024 г.).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При кандидатстване от група или организация на производители (ГОП), показателите за оперативна печалба се определят на база сборните финансови резултати на всички членове на ГОП, пропорционално на тяхното участие в групата.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Съотношението (К) се изчислява по следния начин: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К = Заявена стойност на подпомагане / Средноаритметична оперативна печалба (на кандидата или на членовете на ГОП)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Оценяването се извършва, както следва: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При К ≤ 0 или К &gt; 10 → 0 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При 0 &lt; К ≤ 2 → 15 точки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При 2 &lt; К ≤ 10 → 15 − (К − 2) × 1,75 точки (закръглено до трети знак)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Минимум – 0 т. / Максимум – 15 т.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Допълнение (нов текст): </w:t>
            </w:r>
            <w:r w:rsidRPr="00770D6A">
              <w:rPr>
                <w:rFonts w:ascii="Times New Roman" w:hAnsi="Times New Roman" w:cs="Times New Roman"/>
                <w:sz w:val="24"/>
                <w:szCs w:val="24"/>
              </w:rPr>
              <w:t xml:space="preserve">При кандидатстване от група или организация на производители (ГОП):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Финансовите параметри на членовете на групата подлежат на проверка към момента на подаване на заявлението за подпомагане. При промяна на състава на групата (включване или изключване на членове) след подаване на заявлението, финансовият критерий се преразглежда.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Ако вследствие на промяната оценката по критерия се понижи и това доведе до отпадане на минималния брой точки за класиране, договор не се подписва.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случай че промяната настъпи след сключване на договора и усвояване на средства, и при преизчисляване се установи, че проектът не би получил необходимия брой точки, средствата се възстановяват в съответствие с условията на договора и приложимото законодателство.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 уважение, Председател на УС на Асоциация на промишленото птицевъдство</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highlight w:val="magenta"/>
              </w:rPr>
            </w:pPr>
            <w:r w:rsidRPr="00770D6A">
              <w:rPr>
                <w:rFonts w:ascii="Times New Roman" w:hAnsi="Times New Roman" w:cs="Times New Roman"/>
                <w:sz w:val="24"/>
                <w:szCs w:val="24"/>
              </w:rPr>
              <w:t>Критериите са приети след задълбочени дискусии със заинтересованите страни, в които са взети предвид анализите при подготовка на стратегическия план, идентифицираните потребности и е търсен баланс между различните приоритети. Критерии за подбор по т. 3 „Проекти, насърчаващи кооперирането и интеграцията между земеделските производители“ е специално фокусиран към групите и организациите на производители и дава предимство пред останалите кандидати. Следва да се отбележи, че критерии 3 е след приоритетите с най-висока относителна тежест.</w:t>
            </w:r>
          </w:p>
        </w:tc>
      </w:tr>
      <w:tr w:rsidR="00813D0C" w:rsidRPr="00770D6A" w:rsidTr="00CC1E8D">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highlight w:val="yellow"/>
              </w:rPr>
              <w:t>Опшън ЕООД</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12:03</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Изпращам Ви предложене за уточняващи текстове към условия за кандидатстване за прием на заявления за подпомагане по интервенции II.Г.1 и II.Г.1.1, както следва: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 за подбор и предварителна оценка 4.1. Финансовото състояние на кандидата обезпечава реализирането на инвестициите и респективно методиката за прилагането му.</w:t>
            </w:r>
          </w:p>
          <w:p w:rsidR="00813D0C" w:rsidRPr="00770D6A" w:rsidRDefault="00813D0C" w:rsidP="00813D0C">
            <w:pPr>
              <w:spacing w:line="276" w:lineRule="auto"/>
              <w:jc w:val="both"/>
              <w:rPr>
                <w:rFonts w:ascii="Times New Roman" w:hAnsi="Times New Roman" w:cs="Times New Roman"/>
                <w:b/>
                <w:bCs/>
                <w:sz w:val="24"/>
                <w:szCs w:val="24"/>
              </w:rPr>
            </w:pPr>
            <w:r w:rsidRPr="00770D6A">
              <w:rPr>
                <w:rFonts w:ascii="Times New Roman" w:hAnsi="Times New Roman" w:cs="Times New Roman"/>
                <w:b/>
                <w:bCs/>
                <w:sz w:val="24"/>
                <w:szCs w:val="24"/>
              </w:rPr>
              <w:t>Описание на казуса: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Наблюдава се честа ситуация, при която едно и също лице е регистрирано както като </w:t>
            </w:r>
            <w:r w:rsidRPr="00770D6A">
              <w:rPr>
                <w:rFonts w:ascii="Times New Roman" w:hAnsi="Times New Roman" w:cs="Times New Roman"/>
                <w:b/>
                <w:bCs/>
                <w:sz w:val="24"/>
                <w:szCs w:val="24"/>
              </w:rPr>
              <w:t>физическо лице (ФЛ)</w:t>
            </w:r>
            <w:r w:rsidRPr="00770D6A">
              <w:rPr>
                <w:rFonts w:ascii="Times New Roman" w:hAnsi="Times New Roman" w:cs="Times New Roman"/>
                <w:sz w:val="24"/>
                <w:szCs w:val="24"/>
              </w:rPr>
              <w:t xml:space="preserve"> с БУЛСТАТ (по ЕГН), което извършва земеделска дейност, така и като </w:t>
            </w:r>
            <w:r w:rsidRPr="00770D6A">
              <w:rPr>
                <w:rFonts w:ascii="Times New Roman" w:hAnsi="Times New Roman" w:cs="Times New Roman"/>
                <w:b/>
                <w:bCs/>
                <w:sz w:val="24"/>
                <w:szCs w:val="24"/>
              </w:rPr>
              <w:t>едноличен търговец (ЕТ)</w:t>
            </w:r>
            <w:r w:rsidRPr="00770D6A">
              <w:rPr>
                <w:rFonts w:ascii="Times New Roman" w:hAnsi="Times New Roman" w:cs="Times New Roman"/>
                <w:sz w:val="24"/>
                <w:szCs w:val="24"/>
              </w:rPr>
              <w:t xml:space="preserve"> с отделен БУЛСТАТ, което извършва друга дейност различна от земеделска. Двете лица ползват </w:t>
            </w:r>
            <w:r w:rsidRPr="00770D6A">
              <w:rPr>
                <w:rFonts w:ascii="Times New Roman" w:hAnsi="Times New Roman" w:cs="Times New Roman"/>
                <w:b/>
                <w:bCs/>
                <w:sz w:val="24"/>
                <w:szCs w:val="24"/>
              </w:rPr>
              <w:t>един и същ ДДС номер</w:t>
            </w:r>
            <w:r w:rsidRPr="00770D6A">
              <w:rPr>
                <w:rFonts w:ascii="Times New Roman" w:hAnsi="Times New Roman" w:cs="Times New Roman"/>
                <w:sz w:val="24"/>
                <w:szCs w:val="24"/>
              </w:rPr>
              <w:t>, съгласно изискването на ЗДДС.</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Съгласно действащото законодателство, </w:t>
            </w:r>
            <w:r w:rsidRPr="00770D6A">
              <w:rPr>
                <w:rFonts w:ascii="Times New Roman" w:hAnsi="Times New Roman" w:cs="Times New Roman"/>
                <w:b/>
                <w:bCs/>
                <w:sz w:val="24"/>
                <w:szCs w:val="24"/>
              </w:rPr>
              <w:t>ЕТ подава годишна данъчна декларация по чл. 50 от ЗДДФЛ</w:t>
            </w:r>
            <w:r w:rsidRPr="00770D6A">
              <w:rPr>
                <w:rFonts w:ascii="Times New Roman" w:hAnsi="Times New Roman" w:cs="Times New Roman"/>
                <w:sz w:val="24"/>
                <w:szCs w:val="24"/>
              </w:rPr>
              <w:t xml:space="preserve">, в която се включват доходите от дейностите като ФЛ земеделски производител и като ЕТ друга дейност. В този случай физическото лице </w:t>
            </w:r>
            <w:r w:rsidRPr="00770D6A">
              <w:rPr>
                <w:rFonts w:ascii="Times New Roman" w:hAnsi="Times New Roman" w:cs="Times New Roman"/>
                <w:b/>
                <w:bCs/>
                <w:sz w:val="24"/>
                <w:szCs w:val="24"/>
              </w:rPr>
              <w:t>няма право да подава отделна ГДД</w:t>
            </w:r>
            <w:r w:rsidRPr="00770D6A">
              <w:rPr>
                <w:rFonts w:ascii="Times New Roman" w:hAnsi="Times New Roman" w:cs="Times New Roman"/>
                <w:sz w:val="24"/>
                <w:szCs w:val="24"/>
              </w:rPr>
              <w:t xml:space="preserve"> за същата дейност.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При извличане на данни от НСИ и/или НАП „по БУЛСТАТ на ФЛ“, системата връща резултат </w:t>
            </w:r>
            <w:r w:rsidRPr="00770D6A">
              <w:rPr>
                <w:rFonts w:ascii="Times New Roman" w:hAnsi="Times New Roman" w:cs="Times New Roman"/>
                <w:b/>
                <w:bCs/>
                <w:sz w:val="24"/>
                <w:szCs w:val="24"/>
              </w:rPr>
              <w:t>„няма данни“</w:t>
            </w:r>
            <w:r w:rsidRPr="00770D6A">
              <w:rPr>
                <w:rFonts w:ascii="Times New Roman" w:hAnsi="Times New Roman" w:cs="Times New Roman"/>
                <w:sz w:val="24"/>
                <w:szCs w:val="24"/>
              </w:rPr>
              <w:t xml:space="preserve">, тъй като декларацията е подадена по БУЛСТАТ на ЕТ. Това води до </w:t>
            </w:r>
            <w:r w:rsidRPr="00770D6A">
              <w:rPr>
                <w:rFonts w:ascii="Times New Roman" w:hAnsi="Times New Roman" w:cs="Times New Roman"/>
                <w:b/>
                <w:bCs/>
                <w:sz w:val="24"/>
                <w:szCs w:val="24"/>
              </w:rPr>
              <w:t>неправилно тълкуване</w:t>
            </w:r>
            <w:r w:rsidRPr="00770D6A">
              <w:rPr>
                <w:rFonts w:ascii="Times New Roman" w:hAnsi="Times New Roman" w:cs="Times New Roman"/>
                <w:sz w:val="24"/>
                <w:szCs w:val="24"/>
              </w:rPr>
              <w:t>, че лицето не е подало ГДД, въпреки че задължението е изпълнено чрез ЕТ.</w:t>
            </w:r>
          </w:p>
          <w:p w:rsidR="00813D0C" w:rsidRPr="00770D6A" w:rsidRDefault="00813D0C" w:rsidP="00813D0C">
            <w:pPr>
              <w:spacing w:line="276" w:lineRule="auto"/>
              <w:jc w:val="both"/>
              <w:rPr>
                <w:rFonts w:ascii="Times New Roman" w:hAnsi="Times New Roman" w:cs="Times New Roman"/>
                <w:b/>
                <w:bCs/>
                <w:sz w:val="24"/>
                <w:szCs w:val="24"/>
              </w:rPr>
            </w:pPr>
            <w:r w:rsidRPr="00770D6A">
              <w:rPr>
                <w:rFonts w:ascii="Times New Roman" w:hAnsi="Times New Roman" w:cs="Times New Roman"/>
                <w:b/>
                <w:bCs/>
                <w:sz w:val="24"/>
                <w:szCs w:val="24"/>
              </w:rPr>
              <w:t>Проблем:</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редица вече подадени проектни предложения по мерки и програми, при които се извършва служебна проверка от НСИ и/или НАП, са </w:t>
            </w:r>
            <w:r w:rsidRPr="00770D6A">
              <w:rPr>
                <w:rFonts w:ascii="Times New Roman" w:hAnsi="Times New Roman" w:cs="Times New Roman"/>
                <w:b/>
                <w:bCs/>
                <w:sz w:val="24"/>
                <w:szCs w:val="24"/>
              </w:rPr>
              <w:t>отнети точки по този вид критерии</w:t>
            </w:r>
            <w:r w:rsidRPr="00770D6A">
              <w:rPr>
                <w:rFonts w:ascii="Times New Roman" w:hAnsi="Times New Roman" w:cs="Times New Roman"/>
                <w:sz w:val="24"/>
                <w:szCs w:val="24"/>
              </w:rPr>
              <w:t xml:space="preserve"> поради „липса на данни“ за подадена ГДД от ФЛ.</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Това е довело до </w:t>
            </w:r>
            <w:r w:rsidRPr="00770D6A">
              <w:rPr>
                <w:rFonts w:ascii="Times New Roman" w:hAnsi="Times New Roman" w:cs="Times New Roman"/>
                <w:b/>
                <w:bCs/>
                <w:sz w:val="24"/>
                <w:szCs w:val="24"/>
              </w:rPr>
              <w:t>множество жалби и съдебни дела</w:t>
            </w:r>
            <w:r w:rsidRPr="00770D6A">
              <w:rPr>
                <w:rFonts w:ascii="Times New Roman" w:hAnsi="Times New Roman" w:cs="Times New Roman"/>
                <w:sz w:val="24"/>
                <w:szCs w:val="24"/>
              </w:rPr>
              <w:t>, тъй като кандидатите оспорват неправилната интерпретация на информацията от НСИ и/или НАП.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Предложение: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раздел 11.2. Методика за прилагане на критериите за подбор насоките към УСЛОВИЯ ЗА КАНДИДАТСТВАНЕ ЗА ПРИЕМ НА ЗАЯВЛЕНИЯ ЗА ПОДПОМАГАНЕ по интервенции II.Г.1 и II.Г.1.1, да се включи изрично уточнение в т.6, че: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Когато кандидатът извършва дейност едновременно като ФЛ земеделски производител с отделен Булстат и ЕТ с друга дейнот, с отделен Булстат, но с общ ДДС номер, и подаващи обща ГДД, да се взема информацията от подадената обща ГДД </w:t>
            </w:r>
            <w:r w:rsidRPr="00770D6A">
              <w:rPr>
                <w:rFonts w:ascii="Times New Roman" w:hAnsi="Times New Roman" w:cs="Times New Roman"/>
                <w:b/>
                <w:bCs/>
                <w:sz w:val="24"/>
                <w:szCs w:val="24"/>
              </w:rPr>
              <w:t>по БУЛСТАТ на ЕТ</w:t>
            </w:r>
            <w:r w:rsidRPr="00770D6A">
              <w:rPr>
                <w:rFonts w:ascii="Times New Roman" w:hAnsi="Times New Roman" w:cs="Times New Roman"/>
                <w:sz w:val="24"/>
                <w:szCs w:val="24"/>
              </w:rPr>
              <w:t xml:space="preserve">. Липсата на данни „по БУЛСТАТ на ФЛ“ </w:t>
            </w:r>
            <w:r w:rsidRPr="00770D6A">
              <w:rPr>
                <w:rFonts w:ascii="Times New Roman" w:hAnsi="Times New Roman" w:cs="Times New Roman"/>
                <w:b/>
                <w:bCs/>
                <w:sz w:val="24"/>
                <w:szCs w:val="24"/>
              </w:rPr>
              <w:t>не следва да се счита за неподаване на декларация</w:t>
            </w:r>
            <w:r w:rsidRPr="00770D6A">
              <w:rPr>
                <w:rFonts w:ascii="Times New Roman" w:hAnsi="Times New Roman" w:cs="Times New Roman"/>
                <w:sz w:val="24"/>
                <w:szCs w:val="24"/>
              </w:rPr>
              <w:t>, а представлява особеност на данъчния режим по чл. 50, ал. 1 от ЗДДФЛ.</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Очакван ефект:</w:t>
            </w:r>
          </w:p>
          <w:p w:rsidR="00813D0C" w:rsidRPr="00770D6A" w:rsidRDefault="00813D0C" w:rsidP="00813D0C">
            <w:pPr>
              <w:numPr>
                <w:ilvl w:val="0"/>
                <w:numId w:val="1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Избягване на неправомерно отнемане на точки при оценка на проекти.</w:t>
            </w:r>
          </w:p>
          <w:p w:rsidR="00813D0C" w:rsidRPr="00770D6A" w:rsidRDefault="00813D0C" w:rsidP="00813D0C">
            <w:pPr>
              <w:numPr>
                <w:ilvl w:val="0"/>
                <w:numId w:val="1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Уеднаквяване на тълкуването при проверка на данни от НАП и/или НСИ.</w:t>
            </w:r>
          </w:p>
          <w:p w:rsidR="00813D0C" w:rsidRPr="00770D6A" w:rsidRDefault="00813D0C" w:rsidP="00813D0C">
            <w:pPr>
              <w:numPr>
                <w:ilvl w:val="0"/>
                <w:numId w:val="1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Намаляване на административната тежест и съдебните спорове по вече финализирани процедури.</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Приема се.</w:t>
            </w:r>
          </w:p>
        </w:tc>
      </w:tr>
      <w:tr w:rsidR="00813D0C" w:rsidRPr="00770D6A" w:rsidTr="001E5B38">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color w:val="FF0000"/>
                <w:sz w:val="24"/>
                <w:szCs w:val="24"/>
                <w:highlight w:val="yellow"/>
              </w:rPr>
            </w:pPr>
            <w:r w:rsidRPr="00770D6A">
              <w:rPr>
                <w:rFonts w:ascii="Times New Roman" w:hAnsi="Times New Roman" w:cs="Times New Roman"/>
                <w:color w:val="FF0000"/>
                <w:sz w:val="24"/>
                <w:szCs w:val="24"/>
                <w:highlight w:val="yellow"/>
              </w:rPr>
              <w:t>Национална асоциация на зърнопроизводителите (НАЗ)</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jc w:val="both"/>
              <w:rPr>
                <w:rFonts w:ascii="Times New Roman" w:hAnsi="Times New Roman" w:cs="Times New Roman"/>
                <w:sz w:val="24"/>
                <w:szCs w:val="24"/>
              </w:rPr>
            </w:pPr>
            <w:r w:rsidRPr="00770D6A">
              <w:rPr>
                <w:rFonts w:ascii="Times New Roman" w:hAnsi="Times New Roman" w:cs="Times New Roman"/>
                <w:sz w:val="24"/>
                <w:szCs w:val="24"/>
              </w:rPr>
              <w:t>12:41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Относно: Становище на Национална асоциация на зърнопроизводителите (НАЗ)</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по публикувани за обществено обсъждане проекти на документи за кандидатстване и изпълнение по интервенции II.Г.1 - ИНВЕСТИЦИИ В ЗЕМЕДЕЛСКИТЕ СТОПАНСТВА, ПРИЕМ № II/Г/1/0/1 и II.Г.1.1 - ИНВЕСТИЦИИ В ЗЕМЕДЕЛСКИТЕ СТОПАНСТВА НАСОЧЕНИ КЪМ ОПАЗВАНЕ НА КОМПОНЕНТИТЕ НА ОКОЛНАТА СРЕДА, ПРИЕМ № II/Г/1/1/1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публикувани за обществено обсъждане проекти на документи за кандидатстване и изпълнение по цитираните интервенции от Стратегическия план за развитие на земеделието и селските райони за периода 2023-2027 г. (СПРЗСР), в предоставения срок до 30.10.2025 г., от името на НАЗ предоставям следното становище: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По отношение на представения проект на условия за кандидатстване по интервенция </w:t>
            </w:r>
            <w:r w:rsidRPr="00770D6A">
              <w:rPr>
                <w:rFonts w:ascii="Times New Roman" w:hAnsi="Times New Roman" w:cs="Times New Roman"/>
                <w:b/>
                <w:bCs/>
                <w:sz w:val="24"/>
                <w:szCs w:val="24"/>
              </w:rPr>
              <w:t>II.Г.1 - ИНВЕСТИЦИИ В ЗЕМЕДЕЛСКИТЕ СТОПАНСТВА</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2. Определения за целите на настоящия прием</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Определението за „Обособена част от инвестицията“ гласи: „</w:t>
            </w:r>
            <w:r w:rsidRPr="00770D6A">
              <w:rPr>
                <w:rFonts w:ascii="Times New Roman" w:hAnsi="Times New Roman" w:cs="Times New Roman"/>
                <w:i/>
                <w:iCs/>
                <w:sz w:val="24"/>
                <w:szCs w:val="24"/>
              </w:rPr>
              <w:t>Завършен етап на изпълнение на инвестицията, който е доведен до самостоятелна степен на завършеност, може да функционира самостоятелно и допринася самостоятелно за постигане целите на интервенцията.</w:t>
            </w:r>
            <w:r w:rsidRPr="00770D6A">
              <w:rPr>
                <w:rFonts w:ascii="Times New Roman" w:hAnsi="Times New Roman" w:cs="Times New Roman"/>
                <w:sz w:val="24"/>
                <w:szCs w:val="24"/>
              </w:rPr>
              <w:t>“. До момента по отношение на мерките от Програма за развитие на селските райони 2014-2020 г., а и преди това, обособен етап представляваше и извършването на строително-монтажни работи (СМР) по изграждане на сграда до груб строеж (акт образец 14). При такава степен на завършеност, съвсем естествено не може да се очаква обектът да функционира самостоятелно. Той ще трябва да бъде довършен като СМР и дори да бъде монтирано необходимото оборудване, за да може да функционира самостоятелно. В този смисъл промяната на определението ще доведе до невъзможност именно при по-големите проекти, включващи обикновено и СМР, да се обособи етап и да се предвиди междинно плащане, което да улесни кандидатите за финансово подпомагане. Предлагаме определението и начинът му на прилагане да бъдат презицирани като се запази старата формулировка, така че да се позволи по проекти, включващи СМР, да бъде възможно обособяване на етап. Виждаме, че в Приложение № 1 към Условията за изпълнение документите, доказващи завършен етап в случаите на СМР, като акто образец 15 и 16, се изискват на окончателно плащане, т.е. на междинно плащане не е предвидено да се доказва самостоятелно функциониране, каквото се изисква в даденото определение. Предложената формулировка създава объркване и неяснота – допустимо ли е да се обособят като междинен етап всички СМР по проекта до етап груб строеж (акт образец 14) или в междинния етап следва да се включат всички СМР по проекта.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 Определението за „Преработка на селскостопански продукти“ гласи: „</w:t>
            </w:r>
            <w:r w:rsidRPr="00770D6A">
              <w:rPr>
                <w:rFonts w:ascii="Times New Roman" w:hAnsi="Times New Roman" w:cs="Times New Roman"/>
                <w:i/>
                <w:iCs/>
                <w:sz w:val="24"/>
                <w:szCs w:val="24"/>
              </w:rPr>
              <w:t>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r w:rsidRPr="00770D6A">
              <w:rPr>
                <w:rFonts w:ascii="Times New Roman" w:hAnsi="Times New Roman" w:cs="Times New Roman"/>
                <w:sz w:val="24"/>
                <w:szCs w:val="24"/>
              </w:rPr>
              <w:t>“. Съгласно определението за „Селскостопански продукт“ това са „</w:t>
            </w:r>
            <w:r w:rsidRPr="00770D6A">
              <w:rPr>
                <w:rFonts w:ascii="Times New Roman" w:hAnsi="Times New Roman" w:cs="Times New Roman"/>
                <w:i/>
                <w:iCs/>
                <w:sz w:val="24"/>
                <w:szCs w:val="24"/>
              </w:rPr>
              <w:t>Продуктите, изброени в приложение I към Договора или памук, с изключение на продуктите от риболов и аквакултури, попадащи в приложното поле на Регламент (ЕС) № 1379/2013 на Европейския парламент и на Съвета</w:t>
            </w:r>
            <w:r w:rsidRPr="00770D6A">
              <w:rPr>
                <w:rFonts w:ascii="Times New Roman" w:hAnsi="Times New Roman" w:cs="Times New Roman"/>
                <w:sz w:val="24"/>
                <w:szCs w:val="24"/>
              </w:rPr>
              <w:t>“. Систематичното тълкуване на двеет определения води до извода, че не е преработка на селскостопански продукт такава преработка, при която резултатът е продукт извън приложение I към Договора. Във фиша на интервенция II.Г.2., наречена „Инвестиции за преработка на селскостопански продукти“, в СПРЗСР е записано: „Резултатът от преработката на селскостопански продукти може да бъде продукт, който не е включен в обхвата на приложение I на Договора за функционирането на Европейския съюз, като проектното предложение трябва да е в съответствие с избрания режим за прилагане на държавна помощ по интервенцията.“. Това определение противоречи на логиката на интервенцията за преработка на селскостопански продукти.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 Определението за „Разходи за консултантски услуги, свързани с подготовка и управление на проекта“ гласи: „</w:t>
            </w:r>
            <w:r w:rsidRPr="00770D6A">
              <w:rPr>
                <w:rFonts w:ascii="Times New Roman" w:hAnsi="Times New Roman" w:cs="Times New Roman"/>
                <w:i/>
                <w:iCs/>
                <w:sz w:val="24"/>
                <w:szCs w:val="24"/>
              </w:rPr>
              <w:t>Разходи, извършени преди подаване на заявлението за подпомагане и такива по време на изпълнение на проекта, които задължително включват подготовка на заявлението за подпомагане,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 вкл. правни услуги.</w:t>
            </w:r>
            <w:r w:rsidRPr="00770D6A">
              <w:rPr>
                <w:rFonts w:ascii="Times New Roman" w:hAnsi="Times New Roman" w:cs="Times New Roman"/>
                <w:sz w:val="24"/>
                <w:szCs w:val="24"/>
              </w:rPr>
              <w:t>“. Така разписано, излиза, че правните услуги трябва също да са задължително включени, което не е коректно – те не винаги са необходими. Ако целта на автора е разходите за тези услуги да влизат в лимита за консултантските услуги, то нека се помисли да се извадят от това определение и уточнението, че влизат в лимита за този вид услуги да бъде направено в Раздел Допустими/ Недопустими разходи.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9.1. Условия за допустимост на дейностите/инвестициите, в т.ч. срок за изпълнение на одобрените заявления за подпомагане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w:t>
            </w:r>
            <w:r w:rsidRPr="00770D6A">
              <w:rPr>
                <w:rFonts w:ascii="Times New Roman" w:hAnsi="Times New Roman" w:cs="Times New Roman"/>
                <w:i/>
                <w:iCs/>
                <w:sz w:val="24"/>
                <w:szCs w:val="24"/>
              </w:rPr>
              <w:t>т. 7.1. Когато кандидатът е подал заявления за подпомагане и по интервенция ІІ.Г.1.1., в което приходите от продажби се формират от едни и същи площи с култури/видове и брой животни, при изчисляването на показателите на бизнес плана се отчитат общо заявените разходи и сумата на субсидията по двете заявления за подпомагане.</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Не става ясно по какво оценяващите ще разберат дали площите са същите, ако по анкетна карта имам 10 000 дка и всеки от двата проекта е с бизнес план за 1 000 дка, например? Трябва да има ясни правила, защото поради възможността едни и същи инвестиции да се финансират и по двата приема (например, прецизна земеделска техника или такава за консервационно земеделие) е възможно кандидатите да се подсигурят и да входират по един идентичен проект във всеки от двата приема по двете интервенции. От една страна, ако се приложи цитираната разпоредба, това би било некоректно – кандидатът не иска да си купува два пъти една и съща инвестиция, просто иска да се подсигури като си увеличи шансовете за одобрение. От друга страна, ако тези два проекта бъдат одобрени, те само ще ангажират бюджет, който или няма да използват, или може да си анексират единият проект впоследствие като подменят напълно инвестициите по него според актуалната ситуация.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За да се избегнат подобни ситуации, предлагаме в заявлението за подпомагане да има отбелязване дали идентичен проект е входиран/в процес на входиране и по другата процедура. В тези случаи да не се прилага разпоредбата на т. 7.1., а да се въведе правило, че в случай че и двата проекта са допустими за одобрение, се сключва договор само по единият проект. Въпрос на преценка е дали това решение за избор на проект ще се прави от Държавен фонд „Земеделие“ - Разплащателна агенция (ДФЗ) или от кандидата.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предвиди отбелязване в заявлението дали различен проект е подаден/в процес на входиране по другата интервенция. В тези случай да се прилага разпоредбата на т. 7.1.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 „</w:t>
            </w:r>
            <w:r w:rsidRPr="00770D6A">
              <w:rPr>
                <w:rFonts w:ascii="Times New Roman" w:hAnsi="Times New Roman" w:cs="Times New Roman"/>
                <w:i/>
                <w:iCs/>
                <w:sz w:val="24"/>
                <w:szCs w:val="24"/>
              </w:rPr>
              <w:t>18.2. анализ на въздействието върху околната среда (документът по т. 5 от Раздел 12.1) сочи, че инвестицията няма да доведе до значително отрицателно въздействие върху околната среда.</w:t>
            </w:r>
            <w:r w:rsidRPr="00770D6A">
              <w:rPr>
                <w:rFonts w:ascii="Times New Roman" w:hAnsi="Times New Roman" w:cs="Times New Roman"/>
                <w:sz w:val="24"/>
                <w:szCs w:val="24"/>
              </w:rPr>
              <w:t>“ – препратката към т. 5 е грешна. Вместо към документ от РИОСВ, тя препраща към декларацията по Закона за малки и средни предприятия.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10.2. Недопустими разходи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w:t>
            </w:r>
            <w:r w:rsidRPr="00770D6A">
              <w:rPr>
                <w:rFonts w:ascii="Times New Roman" w:hAnsi="Times New Roman" w:cs="Times New Roman"/>
                <w:i/>
                <w:iCs/>
                <w:sz w:val="24"/>
                <w:szCs w:val="24"/>
              </w:rPr>
              <w:t>т. 16. Разходи за СМР и създаване на трайни насаждения, включени в заявлението за подпомагане, които са били физически започнати и/или извършени преди посещението на място по чл. 12, ал. 4 от Наредба № 4/2024 г.</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ал. 1 на чл. 12 от  Наредба № 4/2024 г., в срок от 6 месеца след приключване на приема ДФЗ приключва обработката на подадените заявления. За съжаление, този срок не се спазва. Така например, по приема по интервенция II.Г.3. „Инвестиции за неселскостопански дейности в селските райони“ – ПРОИЗВОДСТВО, приключил на 29.04.2025 г., точно шест месеца по-късно, когато реално изтича нормативния срок за приключване на обработката, ДФЗ разпредели за обработка подадените заявления. До този момент не са били извършвани посещения на място по проектите с включени СМР. Това възпрепятства реалното стартиране на инвестицията на собствен риск поради заплахата разходите да бъдат обявени за недопустими. При инвестиции в земеделските стопанства и по-конкретно при създаване на трайни насаждения, освен да изчака посещението на място, кандидатът трябва да съобрази и подходящите агро-технологични срокове за засаждане/засяване. Забавянето на посещенията може да саботира възможността за изпълнението на проекта. Настояваме да се предвиди възможност, при изрична заявка от страна на кандидата, подобно посещение да бъде реализирано от ДФЗ или да се дава двуседмично предизвестие от кандидата преди датата на създаване на насаждението, за да се даде възможност на ДФЗ да извърши посещение по време на реализацията и това да не влече негативни последици за коректните кандидати.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 „</w:t>
            </w:r>
            <w:r w:rsidRPr="00770D6A">
              <w:rPr>
                <w:rFonts w:ascii="Times New Roman" w:hAnsi="Times New Roman" w:cs="Times New Roman"/>
                <w:i/>
                <w:iCs/>
                <w:sz w:val="24"/>
                <w:szCs w:val="24"/>
              </w:rPr>
              <w:t>т. 27. Разходи за закупуване на земя и сгради</w:t>
            </w:r>
            <w:r w:rsidRPr="00770D6A">
              <w:rPr>
                <w:rFonts w:ascii="Times New Roman" w:hAnsi="Times New Roman" w:cs="Times New Roman"/>
                <w:sz w:val="24"/>
                <w:szCs w:val="24"/>
              </w:rPr>
              <w:t>“ – дублира се с т. 2 „Разходи за закупуване на недвижима собственост“.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11.1. Критерии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„Критерий 1.1. Заявления за подпомагане, насочени към производство на биологични продукти“ – Считаме, че формулировката за минимално изискване за прилагане на критерия е некоректна, тъй като остават изключени стопанства със сключени договори за контрол преди 01.01.2025 г., при които под 50% от селскостопанските култури/животни съгласно представения бизнес план, са сертифицирани като биологични, а останалите са в преход. Несправедливо би било тези стопанства да не получат точки по критерия, при положение че стопанства изцяло в преход получават. Текстът трябва да се презицира.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11.2. Методика за прилагане на критериите за подбор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w:t>
            </w:r>
            <w:r w:rsidRPr="00770D6A">
              <w:rPr>
                <w:rFonts w:ascii="Times New Roman" w:hAnsi="Times New Roman" w:cs="Times New Roman"/>
                <w:i/>
                <w:iCs/>
                <w:sz w:val="24"/>
                <w:szCs w:val="24"/>
              </w:rPr>
              <w:t xml:space="preserve">т. 6. За получаване на предимство по критерий 4.1 се взема предвид оперативната печалба на кандидата от последните три завършени финансови години (2022, 2023 и 2024 г.), която се определя, като се използват следните данни </w:t>
            </w:r>
            <w:r w:rsidRPr="00770D6A">
              <w:rPr>
                <w:rFonts w:ascii="Times New Roman" w:hAnsi="Times New Roman" w:cs="Times New Roman"/>
                <w:b/>
                <w:bCs/>
                <w:i/>
                <w:iCs/>
                <w:sz w:val="24"/>
                <w:szCs w:val="24"/>
              </w:rPr>
              <w:t>от ОПР</w:t>
            </w:r>
            <w:r w:rsidRPr="00770D6A">
              <w:rPr>
                <w:rFonts w:ascii="Times New Roman" w:hAnsi="Times New Roman" w:cs="Times New Roman"/>
                <w:i/>
                <w:iCs/>
                <w:sz w:val="24"/>
                <w:szCs w:val="24"/>
              </w:rPr>
              <w:t xml:space="preserve"> за съответната финансова година</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От начина на доказване на съответствие с критерия става ясно, че са изключени допустимите иначе за подпомагане физически лица-земеделски производители, които не са регистрирани по ЗДДС, не водят двустранно счетоводство, а прилагат облекчена форма на финансова отчетност, съгласно Закона за счетоводството. Тези лица подават годишни данъчни декларации за облагане доходите на физическите лица, от които могат да се вземат необходимите данни за изчисляване на критерия, но този документ не е предвиден. Предлагаме да се допълни методиката като се приложи подходът, познат от процедура № BG06RDNP001-4.012 по подмярка 4.1 „Инвестиции в земеделски стопанства“ от мярка 4 „Инвестиции в материални активи“ на Програма за развитие на селските райони за периода 2014-2020 г., където съществуваше следната разпоредба „</w:t>
            </w:r>
            <w:r w:rsidRPr="00770D6A">
              <w:rPr>
                <w:rFonts w:ascii="Times New Roman" w:hAnsi="Times New Roman" w:cs="Times New Roman"/>
                <w:i/>
                <w:iCs/>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за съответната година на физическото лице, като се взимат предвид стойността от ред 3 „Сума на доходите, подлежащи на облагане по реда на чл. 29 от ЗДДФЛ“ и ред 4 „Разходи за дейността“.</w:t>
            </w:r>
            <w:r w:rsidRPr="00770D6A">
              <w:rPr>
                <w:rFonts w:ascii="Times New Roman" w:hAnsi="Times New Roman" w:cs="Times New Roman"/>
                <w:sz w:val="24"/>
                <w:szCs w:val="24"/>
              </w:rPr>
              <w:t>“. Считаме за крайно недопустимо и дискриминационно да бъде лишена от възможността за получаване на точки по финансовия критерий тази група допустими кандидати.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Приложение № 1 към Условията за изпълнение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II. Документи за междинно и окончателно плащане, А. Общи документи, т. „</w:t>
            </w:r>
            <w:r w:rsidRPr="00770D6A">
              <w:rPr>
                <w:rFonts w:ascii="Times New Roman" w:hAnsi="Times New Roman" w:cs="Times New Roman"/>
                <w:i/>
                <w:iCs/>
                <w:sz w:val="24"/>
                <w:szCs w:val="24"/>
              </w:rPr>
              <w:t>16. Квитанция/платежно нареждане за изцяло платена застрахователна премия за срока на застраховката, придружено от пълно дневно извлечение (в случай, че плащането е извършено по банков път). Представя се във формат „pdf“ или „jpg“.</w:t>
            </w:r>
            <w:r w:rsidRPr="00770D6A">
              <w:rPr>
                <w:rFonts w:ascii="Times New Roman" w:hAnsi="Times New Roman" w:cs="Times New Roman"/>
                <w:sz w:val="24"/>
                <w:szCs w:val="24"/>
              </w:rPr>
              <w:t>“ – Предлагаме да отпадне, доколкото отпадна изискването за застраховане предмета на инвестицията.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По отношение на представения проект на условия за кандидатстване по интервенция </w:t>
            </w:r>
            <w:r w:rsidRPr="00770D6A">
              <w:rPr>
                <w:rFonts w:ascii="Times New Roman" w:hAnsi="Times New Roman" w:cs="Times New Roman"/>
                <w:b/>
                <w:bCs/>
                <w:sz w:val="24"/>
                <w:szCs w:val="24"/>
              </w:rPr>
              <w:t>II.Г.1.1 - ИНВЕСТИЦИИ В ЗЕМЕДЕЛСКИТЕ СТОПАНСТВА НАСОЧЕНИ КЪМ ОПАЗВАНЕ НА КОМПОНЕНТИТЕ НА ОКОЛНАТА СРЕДА</w:t>
            </w:r>
            <w:r w:rsidRPr="00770D6A">
              <w:rPr>
                <w:rFonts w:ascii="Times New Roman" w:hAnsi="Times New Roman" w:cs="Times New Roman"/>
                <w:sz w:val="24"/>
                <w:szCs w:val="24"/>
              </w:rPr>
              <w:t>, поради сходността на двете интервенции коментарите и предложенията ни са напълно идентични като тези по интервенция II.Г.1.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Определението е ревизирано.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Добавено е уточнение по отношение на подадени идентични заявления за подпомагане в двата приема.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Предложението за промяна на реда и сроковете за извършване на посещение на място ще бъде взето предвид при последващи изменения на Наредба № 4/2024 г.</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FE04CB" w:rsidRPr="00770D6A" w:rsidRDefault="00FE04CB"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7.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8.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След като в приетите на заседание на Комитета за наблюдение на СПРЗСР на 3-4 септември 2025 г. критерии не е уредена хипотезата, описана в коментара, то ще се приравни към изпълнение на условието при най-ниската степен на съответствие.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9.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По данни от електронната страница на Националния статистически институт (НСИ), на основание чл. 20, ал. 4 във връзка с ал. 3 от Закона за статистиката всички физически лица, които са осъществили стопанска дейност през отчетната година, имат задължение за подаване на Годишен отчет за дейността (ГОД) в НСИ. Задължение да подават ГОД имат само тези физически лица, които извършват стопанска дейност, т.е. реализират продукти или услуги на пазара, а не тези, които произвеждат продукти за собствено потребление. Отчетът, който се попълва от земеделските стопани, е „Годишен отчет за дейността на предприятията, несъставящи баланс“ (НФ1).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На следния електронен адрес - </w:t>
            </w:r>
            <w:hyperlink r:id="rId10" w:history="1">
              <w:r w:rsidRPr="00770D6A">
                <w:rPr>
                  <w:rStyle w:val="Hyperlink"/>
                  <w:rFonts w:ascii="Times New Roman" w:hAnsi="Times New Roman" w:cs="Times New Roman"/>
                  <w:sz w:val="24"/>
                  <w:szCs w:val="24"/>
                </w:rPr>
                <w:t>https://www.nsi.bg/news/godishniyat-otchet-za-deinostta-prez-2022-g-vklyuchitelno-i-na-zemedelskite-stopani-se-podava-v-nsi-do-30-yuni-1441</w:t>
              </w:r>
            </w:hyperlink>
            <w:r w:rsidRPr="00770D6A">
              <w:rPr>
                <w:rFonts w:ascii="Times New Roman" w:hAnsi="Times New Roman" w:cs="Times New Roman"/>
                <w:sz w:val="24"/>
                <w:szCs w:val="24"/>
              </w:rPr>
              <w:t xml:space="preserve"> са налични разяснения от НСИ по отношение на това задължение и указания за попълването на ГОД.</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FE04CB" w:rsidRDefault="00FE04CB" w:rsidP="00813D0C">
            <w:pPr>
              <w:spacing w:line="276" w:lineRule="auto"/>
              <w:jc w:val="both"/>
              <w:rPr>
                <w:rFonts w:ascii="Times New Roman" w:hAnsi="Times New Roman" w:cs="Times New Roman"/>
                <w:sz w:val="24"/>
                <w:szCs w:val="24"/>
              </w:rPr>
            </w:pPr>
          </w:p>
          <w:p w:rsidR="00FE04CB" w:rsidRPr="00770D6A" w:rsidRDefault="00FE04CB"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10. Приема се.</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color w:val="FF0000"/>
                <w:sz w:val="24"/>
                <w:szCs w:val="24"/>
              </w:rPr>
            </w:pPr>
            <w:r w:rsidRPr="00770D6A">
              <w:rPr>
                <w:rFonts w:ascii="Times New Roman" w:hAnsi="Times New Roman" w:cs="Times New Roman"/>
                <w:color w:val="FF0000"/>
                <w:sz w:val="24"/>
                <w:szCs w:val="24"/>
              </w:rPr>
              <w:t>Б. Веселинова</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13:58</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Във връзка с изскването на т. 12.3.</w:t>
            </w:r>
            <w:r w:rsidR="00FE04CB">
              <w:rPr>
                <w:rFonts w:ascii="Times New Roman" w:hAnsi="Times New Roman" w:cs="Times New Roman"/>
                <w:sz w:val="24"/>
                <w:szCs w:val="24"/>
              </w:rPr>
              <w:t xml:space="preserve"> </w:t>
            </w:r>
            <w:r w:rsidRPr="00770D6A">
              <w:rPr>
                <w:rFonts w:ascii="Times New Roman" w:hAnsi="Times New Roman" w:cs="Times New Roman"/>
                <w:i/>
                <w:iCs/>
                <w:sz w:val="24"/>
                <w:szCs w:val="24"/>
              </w:rPr>
              <w:t>дейностите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 притежаващи необходимата професионална квалификация, включени в списъка по чл. 21 на ЗЕВИ, поддържан на интернет страницата на АУЕР:</w:t>
            </w:r>
            <w:r w:rsidR="00FE04CB">
              <w:rPr>
                <w:rFonts w:ascii="Times New Roman" w:hAnsi="Times New Roman" w:cs="Times New Roman"/>
                <w:i/>
                <w:iCs/>
                <w:sz w:val="24"/>
                <w:szCs w:val="24"/>
              </w:rPr>
              <w:t xml:space="preserve"> </w:t>
            </w:r>
            <w:hyperlink r:id="rId11" w:history="1">
              <w:r w:rsidRPr="00770D6A">
                <w:rPr>
                  <w:rStyle w:val="Hyperlink"/>
                  <w:rFonts w:ascii="Times New Roman" w:hAnsi="Times New Roman" w:cs="Times New Roman"/>
                  <w:i/>
                  <w:iCs/>
                  <w:sz w:val="24"/>
                  <w:szCs w:val="24"/>
                </w:rPr>
                <w:t>https://www.seea.government.bg/bg/?option=com_grid&amp;gid=14_mg_0&amp;p=34</w:t>
              </w:r>
            </w:hyperlink>
            <w:r w:rsidRPr="00770D6A">
              <w:rPr>
                <w:rFonts w:ascii="Times New Roman" w:hAnsi="Times New Roman" w:cs="Times New Roman"/>
                <w:i/>
                <w:iCs/>
                <w:sz w:val="24"/>
                <w:szCs w:val="24"/>
              </w:rPr>
              <w:t>.</w:t>
            </w:r>
            <w:r w:rsidR="00FE04CB">
              <w:rPr>
                <w:rFonts w:ascii="Times New Roman" w:hAnsi="Times New Roman" w:cs="Times New Roman"/>
                <w:i/>
                <w:iCs/>
                <w:sz w:val="24"/>
                <w:szCs w:val="24"/>
              </w:rPr>
              <w:t xml:space="preserve"> </w:t>
            </w:r>
            <w:r w:rsidRPr="00770D6A">
              <w:rPr>
                <w:rFonts w:ascii="Times New Roman" w:hAnsi="Times New Roman" w:cs="Times New Roman"/>
                <w:sz w:val="24"/>
                <w:szCs w:val="24"/>
              </w:rPr>
              <w:t>от 10.1. Условия за допустимост на разходите и избрана система за оценка на обоснованост на разходите</w:t>
            </w:r>
          </w:p>
          <w:p w:rsidR="00813D0C" w:rsidRPr="00770D6A" w:rsidRDefault="00813D0C" w:rsidP="00FE04CB">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Да отпадне изискването за изпълнители споменатите инсталации</w:t>
            </w:r>
            <w:r w:rsidRPr="00770D6A">
              <w:rPr>
                <w:rFonts w:ascii="Times New Roman" w:hAnsi="Times New Roman" w:cs="Times New Roman"/>
                <w:sz w:val="24"/>
                <w:szCs w:val="24"/>
              </w:rPr>
              <w:t>, които</w:t>
            </w:r>
            <w:r w:rsidR="00FE04CB">
              <w:rPr>
                <w:rFonts w:ascii="Times New Roman" w:hAnsi="Times New Roman" w:cs="Times New Roman"/>
                <w:b/>
                <w:bCs/>
                <w:sz w:val="24"/>
                <w:szCs w:val="24"/>
              </w:rPr>
              <w:t xml:space="preserve"> </w:t>
            </w:r>
            <w:r w:rsidRPr="00770D6A">
              <w:rPr>
                <w:rFonts w:ascii="Times New Roman" w:hAnsi="Times New Roman" w:cs="Times New Roman"/>
                <w:sz w:val="24"/>
                <w:szCs w:val="24"/>
              </w:rPr>
              <w:t>притежават разрешение за извършване на строителства от трета категория, която включва "изграждане на електрически централи и топлоцентрали с мощност до 25 мегавата", което определение покрива необходимите изисквания и с което отговаря на изискванията на чл. 21 от ЗЕВИ. Информацията може да бъде проверена на страницата на ЦЕНТРАЛЕН ПРОФЕСИОНАЛЕН РЕГИСТЪР НА СТРОИТЕЛЯ - </w:t>
            </w:r>
            <w:hyperlink r:id="rId12" w:history="1">
              <w:r w:rsidRPr="00770D6A">
                <w:rPr>
                  <w:rStyle w:val="Hyperlink"/>
                  <w:rFonts w:ascii="Times New Roman" w:hAnsi="Times New Roman" w:cs="Times New Roman"/>
                  <w:sz w:val="24"/>
                  <w:szCs w:val="24"/>
                </w:rPr>
                <w:t>https://register.ksb.bg/</w:t>
              </w:r>
            </w:hyperlink>
            <w:r w:rsidRPr="00770D6A">
              <w:rPr>
                <w:rFonts w:ascii="Times New Roman" w:hAnsi="Times New Roman" w:cs="Times New Roman"/>
                <w:sz w:val="24"/>
                <w:szCs w:val="24"/>
              </w:rPr>
              <w:t>.</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Чл. 21 от ЗЕВИ не предвижда изключения от тази разпоредба.</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highlight w:val="yellow"/>
              </w:rPr>
              <w:t>Български фермерски съюз</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16:14</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СТАНОВИЩЕ Относно: проект на Насоки за кандидатстване по интервенция II.Г.1.1 - „Инвестиции в земеделските стопанства насочени към опазване на компонентите на околната среда” и интервенция II.Г.1 „Инвестиции в земеделските стопанства“ Във връзка с множество предложения за промяна на 11.2. Методика за прилагане на критериите за подбор на критерий 4.1 „Финансовото състояние на кандидата обезпечава реализирането на инвестициите“ по интервенция II.Г.1 „Инвестиции в земеделските стопанства“, съответно критерии 3.1 по интервенция II.Г.1.1 - „Инвестиции в земеделските стопанства насочени към опазване на компонентите на околната среда” за проекти подадени от призната група/организация на производители на селскостопански продукти, считаме, че: Вземането предвид на финансовите данни на членовете на призната група или организация на производители на селскостопански продукти би създало неравнопоставеност, тъй като се дава предимство на субекти, които по своята същност винаги биха разполагали с по-голяма финансова устойчивост спрямо индивидуалните кандидати. Допускаме, че това би могло да доведе до изкуствено включване на членове в съществуваща група или организация на производители на селскостопански продукти преди кандидатстване, с цел получаване на предимство. Тези членове впоследствие биха могли да напуснат групата, тъй като не съществува ангажимент за поддържане на критерия през целия срок на мониторинга. Подобен подход е в пряко противоречие с европейското законодателство, свързано с финансовото подпомагане. Считаме, че приетите критерии на Комитета на наблюдение не следва да бъдат променяни чрез методиката за прилагане на критериите за подбор, с цел изкуствено облагодетелстване на дадена категория кандидати С Уважение Георги Стоянов – председател на Български фермерски съюз</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Приема се.</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color w:val="FF0000"/>
                <w:sz w:val="24"/>
                <w:szCs w:val="24"/>
              </w:rPr>
              <w:t>БАКЕП</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rPr>
                <w:rFonts w:ascii="Times New Roman" w:hAnsi="Times New Roman" w:cs="Times New Roman"/>
                <w:sz w:val="24"/>
                <w:szCs w:val="24"/>
              </w:rPr>
            </w:pPr>
            <w:r w:rsidRPr="00770D6A">
              <w:rPr>
                <w:rFonts w:ascii="Times New Roman" w:hAnsi="Times New Roman" w:cs="Times New Roman"/>
                <w:sz w:val="24"/>
                <w:szCs w:val="24"/>
              </w:rPr>
              <w:t>16:54</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От името на БАКЕП изпращаме нашите коментари и предложения по публикуваните за обществено обсъждане документи.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Моля да разглеждате долуописаните коментари, относими и за двете процедури (там, където е приложимо).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Общи коментари относно:</w:t>
            </w:r>
          </w:p>
          <w:p w:rsidR="00813D0C" w:rsidRPr="00770D6A" w:rsidRDefault="00813D0C" w:rsidP="00813D0C">
            <w:pPr>
              <w:tabs>
                <w:tab w:val="left" w:pos="3795"/>
              </w:tabs>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Адаптиране на насоките (за кандидатстване и изпълнение), приложенията към тях, както и Системата за електронни услуги (СЕУ) в съответствие със Закона за въвеждане на еврото в Република България (ЗВЕРБ)</w:t>
            </w:r>
            <w:r w:rsidRPr="00770D6A">
              <w:rPr>
                <w:rFonts w:ascii="Times New Roman" w:hAnsi="Times New Roman" w:cs="Times New Roman"/>
                <w:sz w:val="24"/>
                <w:szCs w:val="24"/>
              </w:rPr>
              <w:t xml:space="preserve"> – тъй като приемът и по двете интервенции стартира през настоящата година, но се планира да приключи през месец февруари 2026 г., съгласно ЗВЕРБ всички документи по приема (вкл. приложенията към насоките за кандидатстване) и СЕУ следва да позволяват посочване на стойности в лева и евро до края на 2025 г., а след 01.01.2026 г. – само в евро</w:t>
            </w:r>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тази връзка предлагаме:</w:t>
            </w:r>
          </w:p>
          <w:p w:rsidR="00813D0C" w:rsidRPr="00770D6A" w:rsidRDefault="00813D0C" w:rsidP="00813D0C">
            <w:pPr>
              <w:numPr>
                <w:ilvl w:val="0"/>
                <w:numId w:val="2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Всички оферти и договори да е допустимо да бъдат в евро и при липса на стойност в лева да не се изискват отново;</w:t>
            </w:r>
          </w:p>
          <w:p w:rsidR="00813D0C" w:rsidRPr="00770D6A" w:rsidRDefault="00813D0C" w:rsidP="00813D0C">
            <w:pPr>
              <w:numPr>
                <w:ilvl w:val="0"/>
                <w:numId w:val="2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Заявлението за подпомагане да бъде в евро;</w:t>
            </w:r>
          </w:p>
          <w:p w:rsidR="00813D0C" w:rsidRPr="00770D6A" w:rsidRDefault="00813D0C" w:rsidP="00813D0C">
            <w:pPr>
              <w:numPr>
                <w:ilvl w:val="0"/>
                <w:numId w:val="2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Бизнес плана да бъде в евро.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С цел ускоряване на процеса по оценка на заявленията за кандидатстване</w:t>
            </w:r>
            <w:r w:rsidRPr="00770D6A">
              <w:rPr>
                <w:rFonts w:ascii="Times New Roman" w:hAnsi="Times New Roman" w:cs="Times New Roman"/>
                <w:sz w:val="24"/>
                <w:szCs w:val="24"/>
              </w:rPr>
              <w:t xml:space="preserve">, предлагаме да се адаптират насоките за кандидатстване, (вкл. Наредба 4 ако се налага) по подобие на процедурите, които се приложиха при приемите по НПВУ, а именно – на етап кандидатстване да се намали максимално броя на изискуемите документи, като част от документите да се изискват само от одобрените кандидати (напр. офертите и договорите). Очаква се да се подадат близо </w:t>
            </w:r>
            <w:r w:rsidRPr="00770D6A">
              <w:rPr>
                <w:rFonts w:ascii="Times New Roman" w:hAnsi="Times New Roman" w:cs="Times New Roman"/>
                <w:b/>
                <w:bCs/>
                <w:sz w:val="24"/>
                <w:szCs w:val="24"/>
              </w:rPr>
              <w:t>4</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000 проекта</w:t>
            </w:r>
            <w:r w:rsidRPr="00770D6A">
              <w:rPr>
                <w:rFonts w:ascii="Times New Roman" w:hAnsi="Times New Roman" w:cs="Times New Roman"/>
                <w:sz w:val="24"/>
                <w:szCs w:val="24"/>
              </w:rPr>
              <w:t xml:space="preserve"> по двата приема, а средствата ще са достатъчни за около </w:t>
            </w:r>
            <w:r w:rsidRPr="00770D6A">
              <w:rPr>
                <w:rFonts w:ascii="Times New Roman" w:hAnsi="Times New Roman" w:cs="Times New Roman"/>
                <w:b/>
                <w:bCs/>
                <w:sz w:val="24"/>
                <w:szCs w:val="24"/>
              </w:rPr>
              <w:t>1 200 проекта</w:t>
            </w:r>
            <w:r w:rsidRPr="00770D6A">
              <w:rPr>
                <w:rFonts w:ascii="Times New Roman" w:hAnsi="Times New Roman" w:cs="Times New Roman"/>
                <w:sz w:val="24"/>
                <w:szCs w:val="24"/>
              </w:rPr>
              <w:t xml:space="preserve">. Напр. при средно два актива от различни доставчици, единият с три оферти, другият с една оферта, ще се разглеждат 16 000 оферти и 8 000 договора. Ако се приложи подхода от НПВУ, тази бройка ще намалее до 8 000 оферти в етапа на оценка. Това показва, че може да се намали </w:t>
            </w:r>
            <w:r w:rsidRPr="00770D6A">
              <w:rPr>
                <w:rFonts w:ascii="Times New Roman" w:hAnsi="Times New Roman" w:cs="Times New Roman"/>
                <w:b/>
                <w:bCs/>
                <w:sz w:val="24"/>
                <w:szCs w:val="24"/>
              </w:rPr>
              <w:t>три пъти броя на разглежданите документи.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Да отпаднат посещенията на място след подаване на заявленията за кандидатстване по проектите, в които има инвестиции в създаване на трайни насаждения и/или строително монтажни дейности</w:t>
            </w:r>
            <w:r w:rsidRPr="00770D6A">
              <w:rPr>
                <w:rFonts w:ascii="Times New Roman" w:hAnsi="Times New Roman" w:cs="Times New Roman"/>
                <w:sz w:val="24"/>
                <w:szCs w:val="24"/>
              </w:rPr>
              <w:t xml:space="preserve"> – при подаване на заявките за плащане се предоставят редица документи (вкл. нормативно изискуеми, напр. протоколи за строителството), от които е видна датата, от която стартира изпълнението на инвестициите. Поради това, тези посещения са излишни и ефектът от тях е, че се ангажира административен капацитет от страна на ДФЗ и се забавя изпълнението на проектите с месеци.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Калкулатор за земеделска техника</w:t>
            </w:r>
            <w:r w:rsidRPr="00770D6A">
              <w:rPr>
                <w:rFonts w:ascii="Times New Roman" w:hAnsi="Times New Roman" w:cs="Times New Roman"/>
                <w:sz w:val="24"/>
                <w:szCs w:val="24"/>
              </w:rPr>
              <w:t xml:space="preserve"> – когато кандидат е подал заявления за подпомагане за самоходна земеделска техника и по двете интервенции, в калкулатора да се натрупват конските сили и по двата проекта при изчисляване на общият допустим капацитет на земеделската техника</w:t>
            </w:r>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Бизнес планът </w:t>
            </w:r>
            <w:r w:rsidRPr="00770D6A">
              <w:rPr>
                <w:rFonts w:ascii="Times New Roman" w:hAnsi="Times New Roman" w:cs="Times New Roman"/>
                <w:sz w:val="24"/>
                <w:szCs w:val="24"/>
              </w:rPr>
              <w:t>с преизчислените от ДФЗ добиви и цени да стане част от Договора за безвъзмездна помощ. Така, всеки кандидат ще е наясно какви са му задълженията относно показателите за икономическа устойчивост.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Документите за инвестициите за напояване</w:t>
            </w:r>
            <w:r w:rsidRPr="00770D6A">
              <w:rPr>
                <w:rFonts w:ascii="Times New Roman" w:hAnsi="Times New Roman" w:cs="Times New Roman"/>
                <w:sz w:val="24"/>
                <w:szCs w:val="24"/>
              </w:rPr>
              <w:t xml:space="preserve"> – да отпадне изискването при инвестиции в съществуващи напоителни инсталации кандидатите да предоставят документи за периода 2023-2025 (разрешително за водовземане, договор/документ от НС), в които да са описани имотите, които се напояват. Практиката, а и законодателството не изискват изписване на номера на имот, които ще се напояват и поради тази причина в документите, които вече са издадени такава информация липсва.</w:t>
            </w:r>
          </w:p>
          <w:p w:rsidR="00813D0C"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Системата за земеделска счетоводна информация (СЗСИ) и Системата за информация за устойчивостта на земеделските стопанства (СИУЗС)</w:t>
            </w:r>
            <w:r w:rsidRPr="00770D6A">
              <w:rPr>
                <w:rFonts w:ascii="Times New Roman" w:hAnsi="Times New Roman" w:cs="Times New Roman"/>
                <w:sz w:val="24"/>
                <w:szCs w:val="24"/>
              </w:rPr>
              <w:t xml:space="preserve"> предлагаме в Приложение към условията за кандидатстване тези системи да се опишат, като се опише цялата информация, която земеделските стопани трябва да подават към тях. В момента, това не е известно и стопаните не знаят дали ще могат да поемат ангажимент да подават необходимата информация в тези системи.</w:t>
            </w:r>
          </w:p>
          <w:p w:rsidR="00840003" w:rsidRPr="00770D6A" w:rsidRDefault="00840003"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bookmarkStart w:id="0" w:name="_Hlk212674300"/>
            <w:r w:rsidRPr="00770D6A">
              <w:rPr>
                <w:rFonts w:ascii="Times New Roman" w:hAnsi="Times New Roman" w:cs="Times New Roman"/>
                <w:b/>
                <w:bCs/>
                <w:sz w:val="24"/>
                <w:szCs w:val="24"/>
              </w:rPr>
              <w:t>Коментари и предложения по Условията за кандидатстване по</w:t>
            </w:r>
            <w:bookmarkEnd w:id="0"/>
            <w:r w:rsidRPr="00770D6A">
              <w:rPr>
                <w:rFonts w:ascii="Times New Roman" w:hAnsi="Times New Roman" w:cs="Times New Roman"/>
                <w:b/>
                <w:bCs/>
                <w:sz w:val="24"/>
                <w:szCs w:val="24"/>
              </w:rPr>
              <w:t xml:space="preserve"> II.Г.1 и II.Г.1.1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2.</w:t>
            </w:r>
            <w:bookmarkStart w:id="1" w:name="_Toc187937226"/>
            <w:r w:rsidRPr="00770D6A">
              <w:rPr>
                <w:rFonts w:ascii="Times New Roman" w:hAnsi="Times New Roman" w:cs="Times New Roman"/>
                <w:b/>
                <w:bCs/>
                <w:sz w:val="24"/>
                <w:szCs w:val="24"/>
              </w:rPr>
              <w:t xml:space="preserve"> Определения за целите на настоящия прием</w:t>
            </w:r>
            <w:bookmarkEnd w:id="1"/>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„Определение за земеделска техника – Техника,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 включително и когато те се използват в животновъдните обекти.“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уточни дали навигационните системи, GPS устройства и др., както и дроновете попадат в обхвата на определението за Земеделска техника.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уточни включват ли се в определения максимален размер на допустимите разходи за закупуване на земеделска техника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8.1. Критерии за допустимост на кандидатите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„8. За кандидати еднолични търговци за изпълнение на изискванията по т. 1.2 и т. 1.3 се признават и обстоятелствата за физическото лице.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9.</w:t>
            </w:r>
            <w:bookmarkStart w:id="2" w:name="_Hlk212629507"/>
            <w:r w:rsidRPr="00770D6A">
              <w:rPr>
                <w:rFonts w:ascii="Times New Roman" w:hAnsi="Times New Roman" w:cs="Times New Roman"/>
                <w:i/>
                <w:iCs/>
                <w:sz w:val="24"/>
                <w:szCs w:val="24"/>
              </w:rPr>
              <w:t xml:space="preserve"> За кандидатите </w:t>
            </w:r>
            <w:r w:rsidRPr="00770D6A">
              <w:rPr>
                <w:rFonts w:ascii="Times New Roman" w:hAnsi="Times New Roman" w:cs="Times New Roman"/>
                <w:b/>
                <w:bCs/>
                <w:i/>
                <w:iCs/>
                <w:sz w:val="24"/>
                <w:szCs w:val="24"/>
              </w:rPr>
              <w:t>еднолични дружества с ограничена отговорност</w:t>
            </w:r>
            <w:r w:rsidRPr="00770D6A">
              <w:rPr>
                <w:rFonts w:ascii="Times New Roman" w:hAnsi="Times New Roman" w:cs="Times New Roman"/>
                <w:i/>
                <w:iCs/>
                <w:sz w:val="24"/>
                <w:szCs w:val="24"/>
              </w:rPr>
              <w:t xml:space="preserve"> за изпълнение на изискванията по т. 1.2 и т. 1.3 се признават и обстоятелствата за физическото лице, което е едноличен собственик на капитала от учредяването му.</w:t>
            </w:r>
            <w:bookmarkEnd w:id="2"/>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10. За кандидатите </w:t>
            </w:r>
            <w:r w:rsidRPr="00770D6A">
              <w:rPr>
                <w:rFonts w:ascii="Times New Roman" w:hAnsi="Times New Roman" w:cs="Times New Roman"/>
                <w:b/>
                <w:bCs/>
                <w:i/>
                <w:iCs/>
                <w:sz w:val="24"/>
                <w:szCs w:val="24"/>
              </w:rPr>
              <w:t>еднолични дружества с ограничена отговорност</w:t>
            </w:r>
            <w:r w:rsidRPr="00770D6A">
              <w:rPr>
                <w:rFonts w:ascii="Times New Roman" w:hAnsi="Times New Roman" w:cs="Times New Roman"/>
                <w:i/>
                <w:iCs/>
                <w:sz w:val="24"/>
                <w:szCs w:val="24"/>
              </w:rPr>
              <w:t xml:space="preserve"> за изпълнение на изискванията по т. 1.2 и т. 1.3се признават и обстоятелствата за едноличен търговец, когато същото физическо лице е собственик на капитала на дружеството от учредяването му.“</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разшири допустимостта на ООД/СД и да се включат допълнителни точки:</w:t>
            </w:r>
          </w:p>
          <w:p w:rsidR="00813D0C" w:rsidRPr="00770D6A" w:rsidRDefault="00813D0C" w:rsidP="00813D0C">
            <w:pPr>
              <w:numPr>
                <w:ilvl w:val="0"/>
                <w:numId w:val="2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11.За кандидатите дружества с ограничена отговорност или събирателни дружества за изпълнение на изискванията по т. 1.2 и т. 1.3 се признават и обстоятелствата за физическите лица, които са собственици на капитала от учредяването им.</w:t>
            </w:r>
          </w:p>
          <w:p w:rsidR="00813D0C" w:rsidRPr="00770D6A" w:rsidRDefault="00813D0C" w:rsidP="00813D0C">
            <w:pPr>
              <w:numPr>
                <w:ilvl w:val="0"/>
                <w:numId w:val="2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12. За кандидатите дружества с ограничена отговорност или събирателни дружества за изпълнение на изискванията по т. 1.2 и т. 1.3 се признават и обстоятелствата за еднолични търговци, когато същите физически лица са собственици на капитала на дружествата от учредяването им.“</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9.1. Условия за допустимост на дейностите/инвестициите, в т.ч. срок за изпълнение на одобрените заявления за подпомагане</w:t>
            </w:r>
          </w:p>
          <w:p w:rsidR="00813D0C" w:rsidRPr="00770D6A" w:rsidRDefault="00813D0C" w:rsidP="00813D0C">
            <w:pPr>
              <w:numPr>
                <w:ilvl w:val="0"/>
                <w:numId w:val="2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„т. 7. </w:t>
            </w:r>
            <w:r w:rsidRPr="00770D6A">
              <w:rPr>
                <w:rFonts w:ascii="Times New Roman" w:hAnsi="Times New Roman" w:cs="Times New Roman"/>
                <w:b/>
                <w:bCs/>
                <w:i/>
                <w:iCs/>
                <w:sz w:val="24"/>
                <w:szCs w:val="24"/>
              </w:rPr>
              <w:t>Бизнес планът</w:t>
            </w:r>
            <w:r w:rsidRPr="00770D6A">
              <w:rPr>
                <w:rFonts w:ascii="Times New Roman" w:hAnsi="Times New Roman" w:cs="Times New Roman"/>
                <w:i/>
                <w:iCs/>
                <w:sz w:val="24"/>
                <w:szCs w:val="24"/>
              </w:rPr>
              <w:t xml:space="preserve"> трябва да доказва ефективност и икономическа жизнеспособност, както и подобряване земеделската дейност на кандидата чрез прилагане на планираните инвестиции и дейности за съответния период по т. 6. Кандидатите представят обосновка на заложените добиви и цени в производствената програма, като посочват информация за използваните източници – агропазарна статистика, публична информация от браншови организации, борсови цени, договори, фактури и др. ДФЗ извършва оценка на заложените </w:t>
            </w:r>
            <w:r w:rsidRPr="00770D6A">
              <w:rPr>
                <w:rFonts w:ascii="Times New Roman" w:hAnsi="Times New Roman" w:cs="Times New Roman"/>
                <w:b/>
                <w:bCs/>
                <w:i/>
                <w:iCs/>
                <w:sz w:val="24"/>
                <w:szCs w:val="24"/>
              </w:rPr>
              <w:t>добиви, съгласно разработена методика</w:t>
            </w:r>
            <w:r w:rsidRPr="00770D6A">
              <w:rPr>
                <w:rFonts w:ascii="Times New Roman" w:hAnsi="Times New Roman" w:cs="Times New Roman"/>
                <w:i/>
                <w:iCs/>
                <w:sz w:val="24"/>
                <w:szCs w:val="24"/>
              </w:rPr>
              <w:t>“.</w:t>
            </w:r>
          </w:p>
          <w:p w:rsidR="00813D0C" w:rsidRPr="00770D6A" w:rsidRDefault="00813D0C" w:rsidP="00813D0C">
            <w:pPr>
              <w:numPr>
                <w:ilvl w:val="1"/>
                <w:numId w:val="22"/>
              </w:numPr>
              <w:tabs>
                <w:tab w:val="clear" w:pos="144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Методиката, по която ДФЗ извършва оценка на заложените добиви да стане приложение към документите за кандидатстване.</w:t>
            </w:r>
          </w:p>
          <w:p w:rsidR="00813D0C" w:rsidRPr="00770D6A" w:rsidRDefault="00813D0C" w:rsidP="00813D0C">
            <w:pPr>
              <w:numPr>
                <w:ilvl w:val="0"/>
                <w:numId w:val="2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„т. 7.1. Когато кандидатът е подал заявления за подпомагане и по интервенция ІІ.Г.1.1., в което приходите от продажби се формират от едни и същи площи с култури/видове и брой животни, при изчисляването на показателите на бизнес плана се отчитат общо заявените разходи и сумата на субсидията по двете заявления за подпомагане.“</w:t>
            </w:r>
          </w:p>
          <w:p w:rsidR="00813D0C" w:rsidRPr="00770D6A" w:rsidRDefault="00813D0C" w:rsidP="00813D0C">
            <w:pPr>
              <w:numPr>
                <w:ilvl w:val="1"/>
                <w:numId w:val="22"/>
              </w:numPr>
              <w:tabs>
                <w:tab w:val="clear" w:pos="144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Трябва да</w:t>
            </w:r>
            <w:bookmarkStart w:id="3" w:name="_Hlk211591356"/>
            <w:r w:rsidRPr="00770D6A">
              <w:rPr>
                <w:rFonts w:ascii="Times New Roman" w:hAnsi="Times New Roman" w:cs="Times New Roman"/>
                <w:sz w:val="24"/>
                <w:szCs w:val="24"/>
              </w:rPr>
              <w:t xml:space="preserve"> се изясни какво означава „едни и същи площи“ и как ще се установява.</w:t>
            </w:r>
            <w:bookmarkEnd w:id="3"/>
          </w:p>
          <w:p w:rsidR="00813D0C" w:rsidRPr="00770D6A" w:rsidRDefault="00813D0C" w:rsidP="00813D0C">
            <w:pPr>
              <w:numPr>
                <w:ilvl w:val="1"/>
                <w:numId w:val="22"/>
              </w:numPr>
              <w:tabs>
                <w:tab w:val="clear" w:pos="144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При подаване на заявления за подпомагане по двете интервенции са възможни няколко сценария:</w:t>
            </w:r>
          </w:p>
          <w:p w:rsidR="00813D0C" w:rsidRPr="00770D6A" w:rsidRDefault="00813D0C" w:rsidP="00813D0C">
            <w:pPr>
              <w:numPr>
                <w:ilvl w:val="0"/>
                <w:numId w:val="23"/>
              </w:numPr>
              <w:tabs>
                <w:tab w:val="clear" w:pos="720"/>
              </w:tabs>
              <w:spacing w:line="276" w:lineRule="auto"/>
              <w:ind w:left="0" w:firstLine="0"/>
              <w:jc w:val="both"/>
              <w:rPr>
                <w:rFonts w:ascii="Times New Roman" w:hAnsi="Times New Roman" w:cs="Times New Roman"/>
                <w:sz w:val="24"/>
                <w:szCs w:val="24"/>
              </w:rPr>
            </w:pPr>
            <w:bookmarkStart w:id="4" w:name="_Hlk212563924"/>
            <w:r w:rsidRPr="00770D6A">
              <w:rPr>
                <w:rFonts w:ascii="Times New Roman" w:hAnsi="Times New Roman" w:cs="Times New Roman"/>
                <w:sz w:val="24"/>
                <w:szCs w:val="24"/>
              </w:rPr>
              <w:t xml:space="preserve">Възможно е да се подадат заявления за подпомагане </w:t>
            </w:r>
            <w:r w:rsidRPr="00770D6A">
              <w:rPr>
                <w:rFonts w:ascii="Times New Roman" w:hAnsi="Times New Roman" w:cs="Times New Roman"/>
                <w:b/>
                <w:bCs/>
                <w:sz w:val="24"/>
                <w:szCs w:val="24"/>
              </w:rPr>
              <w:t>за едни и същи площи, но с различни инвестиции</w:t>
            </w:r>
            <w:r w:rsidRPr="00770D6A">
              <w:rPr>
                <w:rFonts w:ascii="Times New Roman" w:hAnsi="Times New Roman" w:cs="Times New Roman"/>
                <w:sz w:val="24"/>
                <w:szCs w:val="24"/>
              </w:rPr>
              <w:t xml:space="preserve"> и тогава е коректно да се отчитат </w:t>
            </w:r>
            <w:r w:rsidRPr="00770D6A">
              <w:rPr>
                <w:rFonts w:ascii="Times New Roman" w:hAnsi="Times New Roman" w:cs="Times New Roman"/>
                <w:i/>
                <w:iCs/>
                <w:sz w:val="24"/>
                <w:szCs w:val="24"/>
              </w:rPr>
              <w:t>общо заявените разходи и сумата на субсидията по двете заявления за подпомагане</w:t>
            </w:r>
            <w:bookmarkEnd w:id="4"/>
          </w:p>
          <w:p w:rsidR="00813D0C" w:rsidRPr="00770D6A" w:rsidRDefault="00813D0C" w:rsidP="00813D0C">
            <w:pPr>
              <w:numPr>
                <w:ilvl w:val="0"/>
                <w:numId w:val="2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Възможно е да се подадат заявления за подпомагане за </w:t>
            </w:r>
            <w:r w:rsidRPr="00770D6A">
              <w:rPr>
                <w:rFonts w:ascii="Times New Roman" w:hAnsi="Times New Roman" w:cs="Times New Roman"/>
                <w:b/>
                <w:bCs/>
                <w:sz w:val="24"/>
                <w:szCs w:val="24"/>
              </w:rPr>
              <w:t>едни и същи площи с еднакви инвестиции</w:t>
            </w:r>
            <w:r w:rsidRPr="00770D6A">
              <w:rPr>
                <w:rFonts w:ascii="Times New Roman" w:hAnsi="Times New Roman" w:cs="Times New Roman"/>
                <w:sz w:val="24"/>
                <w:szCs w:val="24"/>
              </w:rPr>
              <w:t xml:space="preserve"> (тъй като трудно се преценява къде шансовете за успех са по-добри, част от кандидатите ще подходят по този начин) и тогава също е коректно да се отчитат </w:t>
            </w:r>
            <w:r w:rsidRPr="00770D6A">
              <w:rPr>
                <w:rFonts w:ascii="Times New Roman" w:hAnsi="Times New Roman" w:cs="Times New Roman"/>
                <w:i/>
                <w:iCs/>
                <w:sz w:val="24"/>
                <w:szCs w:val="24"/>
              </w:rPr>
              <w:t>общо заявените разходи и сумата на субсидията по двете заявления за подпомагане</w:t>
            </w:r>
          </w:p>
          <w:p w:rsidR="00813D0C" w:rsidRPr="00770D6A" w:rsidRDefault="00813D0C" w:rsidP="00813D0C">
            <w:pPr>
              <w:numPr>
                <w:ilvl w:val="0"/>
                <w:numId w:val="2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Подават се две заявления за обработка на </w:t>
            </w:r>
            <w:r w:rsidRPr="00770D6A">
              <w:rPr>
                <w:rFonts w:ascii="Times New Roman" w:hAnsi="Times New Roman" w:cs="Times New Roman"/>
                <w:b/>
                <w:bCs/>
                <w:sz w:val="24"/>
                <w:szCs w:val="24"/>
              </w:rPr>
              <w:t>една и съща култура с еднакъв по размер площ</w:t>
            </w:r>
            <w:r w:rsidRPr="00770D6A">
              <w:rPr>
                <w:rFonts w:ascii="Times New Roman" w:hAnsi="Times New Roman" w:cs="Times New Roman"/>
                <w:sz w:val="24"/>
                <w:szCs w:val="24"/>
              </w:rPr>
              <w:t xml:space="preserve"> (напр. по 500 дка царевица). Но тъй като стопанството обработва общо 1000 дка царевица, то в този случай това не са едни и същи площи и не би следвало да се отчитат </w:t>
            </w:r>
            <w:r w:rsidRPr="00770D6A">
              <w:rPr>
                <w:rFonts w:ascii="Times New Roman" w:hAnsi="Times New Roman" w:cs="Times New Roman"/>
                <w:i/>
                <w:iCs/>
                <w:sz w:val="24"/>
                <w:szCs w:val="24"/>
              </w:rPr>
              <w:t>общо заявените разходи и сумата на субсидията по двете заявления за подпомагане</w:t>
            </w:r>
          </w:p>
          <w:p w:rsidR="00813D0C" w:rsidRPr="00770D6A" w:rsidRDefault="00813D0C" w:rsidP="00813D0C">
            <w:pPr>
              <w:numPr>
                <w:ilvl w:val="1"/>
                <w:numId w:val="23"/>
              </w:numPr>
              <w:tabs>
                <w:tab w:val="clear" w:pos="144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С оглед на гореизложеното и това, че има още хипотези, може би е удачно в бизнес плановете да има допълнителна таблица, в която да се описват инвестициите, с които се кандидатства по другата интервенция, както и площите и културите за тези инвестиции и дали са същите площи или са допълващи.</w:t>
            </w:r>
          </w:p>
          <w:p w:rsidR="00813D0C" w:rsidRPr="00770D6A" w:rsidRDefault="00813D0C" w:rsidP="00813D0C">
            <w:pPr>
              <w:numPr>
                <w:ilvl w:val="0"/>
                <w:numId w:val="24"/>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„10. Данните за броя и </w:t>
            </w:r>
            <w:r w:rsidRPr="00770D6A">
              <w:rPr>
                <w:rFonts w:ascii="Times New Roman" w:hAnsi="Times New Roman" w:cs="Times New Roman"/>
                <w:b/>
                <w:bCs/>
                <w:i/>
                <w:iCs/>
                <w:sz w:val="24"/>
                <w:szCs w:val="24"/>
              </w:rPr>
              <w:t>вида на животните</w:t>
            </w:r>
            <w:r w:rsidRPr="00770D6A">
              <w:rPr>
                <w:rFonts w:ascii="Times New Roman" w:hAnsi="Times New Roman" w:cs="Times New Roman"/>
                <w:i/>
                <w:iCs/>
                <w:sz w:val="24"/>
                <w:szCs w:val="24"/>
              </w:rPr>
              <w:t xml:space="preserve"> в стопанството и/или размера на обработваемата земя, </w:t>
            </w:r>
            <w:r w:rsidRPr="00770D6A">
              <w:rPr>
                <w:rFonts w:ascii="Times New Roman" w:hAnsi="Times New Roman" w:cs="Times New Roman"/>
                <w:b/>
                <w:bCs/>
                <w:i/>
                <w:iCs/>
                <w:sz w:val="24"/>
                <w:szCs w:val="24"/>
              </w:rPr>
              <w:t>посочени в бизнес плана, се доказват към дата на подаване на заявлението за подпомагане</w:t>
            </w:r>
            <w:r w:rsidRPr="00770D6A">
              <w:rPr>
                <w:rFonts w:ascii="Times New Roman" w:hAnsi="Times New Roman" w:cs="Times New Roman"/>
                <w:i/>
                <w:iCs/>
                <w:sz w:val="24"/>
                <w:szCs w:val="24"/>
              </w:rPr>
              <w:t xml:space="preserve"> чрез:</w:t>
            </w:r>
          </w:p>
          <w:p w:rsidR="00813D0C" w:rsidRPr="00770D6A" w:rsidRDefault="00813D0C" w:rsidP="00813D0C">
            <w:pPr>
              <w:numPr>
                <w:ilvl w:val="1"/>
                <w:numId w:val="24"/>
              </w:numPr>
              <w:tabs>
                <w:tab w:val="clear" w:pos="1440"/>
              </w:tabs>
              <w:spacing w:line="276" w:lineRule="auto"/>
              <w:ind w:left="0" w:firstLine="0"/>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10.2. </w:t>
            </w:r>
            <w:r w:rsidRPr="00770D6A">
              <w:rPr>
                <w:rFonts w:ascii="Times New Roman" w:hAnsi="Times New Roman" w:cs="Times New Roman"/>
                <w:b/>
                <w:bCs/>
                <w:i/>
                <w:iCs/>
                <w:sz w:val="24"/>
                <w:szCs w:val="24"/>
              </w:rPr>
              <w:t>за вида и броя на отглежданите животни</w:t>
            </w:r>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а) чрез служебна справка в Регистър животни и пчелини.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 и/или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б) документ за собственост или ползване на земеделска земя и/или друг вид недвижими имоти – само в случаите на заявления за подпомагане за изграждане на нов животновъден обект при започване на нова дейност и/или при разширяване на съществуващата“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Считаме, че в този си вид текстът не е коректен и не включва всички добросъвестни и възможни случаи при животновъдството. Например – към дата на подаване на проекта няма зареждане от птици или са налице по-малко животни например крави или овце от допустимите по капацитет на животновъдния обект, като в прогнозните години от бизнес плана се разчита чрез естествен прираст броят да бъде увеличен - инвестицията е разчетена на база потенциалния по-голям брой на животните. Възможен е и вариант, в който в регистриран животновъден обект ще се смени вида на отглежданите животни например от говеда млечно направление се преминава към говеда месодайно направление. Броят на животните е динамичен във всеки един момент и датата на подаване на заявлението за подпомагане не е меродавна – животни се раждат, продават, умират непрекъснато.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Нужно е да се прецизира т. 10.2 например по следния начин</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„10.2. </w:t>
            </w:r>
            <w:r w:rsidRPr="00770D6A">
              <w:rPr>
                <w:rFonts w:ascii="Times New Roman" w:hAnsi="Times New Roman" w:cs="Times New Roman"/>
                <w:b/>
                <w:bCs/>
                <w:i/>
                <w:iCs/>
                <w:sz w:val="24"/>
                <w:szCs w:val="24"/>
              </w:rPr>
              <w:t>за вида и броя на отглежданите животни</w:t>
            </w:r>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а) чрез служебна справка в Регистър животни и пчелини. В случаите, когато броят на отглежданите животни не подлежи на вписване в Регистър животни и пчелини </w:t>
            </w:r>
            <w:r w:rsidRPr="00770D6A">
              <w:rPr>
                <w:rFonts w:ascii="Times New Roman" w:hAnsi="Times New Roman" w:cs="Times New Roman"/>
                <w:b/>
                <w:bCs/>
                <w:i/>
                <w:iCs/>
                <w:sz w:val="24"/>
                <w:szCs w:val="24"/>
              </w:rPr>
              <w:t>или в бизнес плана е обосновано увеличение на отглежданите животни</w:t>
            </w:r>
            <w:r w:rsidRPr="00770D6A">
              <w:rPr>
                <w:rFonts w:ascii="Times New Roman" w:hAnsi="Times New Roman" w:cs="Times New Roman"/>
                <w:i/>
                <w:iCs/>
                <w:sz w:val="24"/>
                <w:szCs w:val="24"/>
              </w:rPr>
              <w:t>, се взима предвид посоченият в Регистъра капацитет на животновъдния обект, и/или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б) документ за собственост или ползване на земеделска земя и/или друг вид недвижими имоти – само в случаите на заявления за подпомагане за изграждане на нов животновъден обект при започване на нова дейност и/или при разширяване на съществуващата </w:t>
            </w:r>
            <w:r w:rsidRPr="00770D6A">
              <w:rPr>
                <w:rFonts w:ascii="Times New Roman" w:hAnsi="Times New Roman" w:cs="Times New Roman"/>
                <w:b/>
                <w:bCs/>
                <w:i/>
                <w:iCs/>
                <w:sz w:val="24"/>
                <w:szCs w:val="24"/>
              </w:rPr>
              <w:t>и/или при промяна на вида на отглежданите животни в съществуващ животновъден обект</w:t>
            </w:r>
            <w:r w:rsidRPr="00770D6A">
              <w:rPr>
                <w:rFonts w:ascii="Times New Roman" w:hAnsi="Times New Roman" w:cs="Times New Roman"/>
                <w:i/>
                <w:iCs/>
                <w:sz w:val="24"/>
                <w:szCs w:val="24"/>
              </w:rPr>
              <w:t>“</w:t>
            </w:r>
          </w:p>
          <w:p w:rsidR="00813D0C" w:rsidRPr="00770D6A" w:rsidRDefault="00813D0C" w:rsidP="00813D0C">
            <w:pPr>
              <w:numPr>
                <w:ilvl w:val="0"/>
                <w:numId w:val="25"/>
              </w:numPr>
              <w:tabs>
                <w:tab w:val="clear" w:pos="720"/>
              </w:tabs>
              <w:spacing w:line="276" w:lineRule="auto"/>
              <w:ind w:left="0" w:firstLine="0"/>
              <w:jc w:val="both"/>
              <w:rPr>
                <w:rFonts w:ascii="Times New Roman" w:hAnsi="Times New Roman" w:cs="Times New Roman"/>
                <w:sz w:val="24"/>
                <w:szCs w:val="24"/>
              </w:rPr>
            </w:pPr>
            <w:bookmarkStart w:id="5" w:name="_Hlk212673700"/>
            <w:r w:rsidRPr="00770D6A">
              <w:rPr>
                <w:rFonts w:ascii="Times New Roman" w:hAnsi="Times New Roman" w:cs="Times New Roman"/>
                <w:i/>
                <w:iCs/>
                <w:sz w:val="24"/>
                <w:szCs w:val="24"/>
              </w:rPr>
              <w:t xml:space="preserve">„16. Инвестиции </w:t>
            </w:r>
            <w:r w:rsidRPr="00770D6A">
              <w:rPr>
                <w:rFonts w:ascii="Times New Roman" w:hAnsi="Times New Roman" w:cs="Times New Roman"/>
                <w:b/>
                <w:bCs/>
                <w:i/>
                <w:iCs/>
                <w:sz w:val="24"/>
                <w:szCs w:val="24"/>
              </w:rPr>
              <w:t>в съществуващи напоителни системи</w:t>
            </w:r>
            <w:r w:rsidRPr="00770D6A">
              <w:rPr>
                <w:rFonts w:ascii="Times New Roman" w:hAnsi="Times New Roman" w:cs="Times New Roman"/>
                <w:i/>
                <w:iCs/>
                <w:sz w:val="24"/>
                <w:szCs w:val="24"/>
              </w:rPr>
              <w:t xml:space="preserve"> са допустими, при условие че:</w:t>
            </w:r>
            <w:bookmarkEnd w:id="5"/>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16.1. осигуряват най-малко 20 на сто потенциална икономия на вода (ПИВ);</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16.2. осигуряват най-малко 20 на сто ПИВ и ефективно намаление на консумацията на вода с не по-малко от 60 на сто от ПИВ, когато се използва вода от водно тяло, определено в по-ниско от добро </w:t>
            </w:r>
            <w:r w:rsidRPr="00770D6A">
              <w:rPr>
                <w:rFonts w:ascii="Times New Roman" w:hAnsi="Times New Roman" w:cs="Times New Roman"/>
                <w:b/>
                <w:bCs/>
                <w:i/>
                <w:iCs/>
                <w:sz w:val="24"/>
                <w:szCs w:val="24"/>
              </w:rPr>
              <w:t>екологично</w:t>
            </w:r>
            <w:r w:rsidRPr="00770D6A">
              <w:rPr>
                <w:rFonts w:ascii="Times New Roman" w:hAnsi="Times New Roman" w:cs="Times New Roman"/>
                <w:i/>
                <w:iCs/>
                <w:sz w:val="24"/>
                <w:szCs w:val="24"/>
              </w:rPr>
              <w:t xml:space="preserve"> или </w:t>
            </w:r>
            <w:r w:rsidRPr="00770D6A">
              <w:rPr>
                <w:rFonts w:ascii="Times New Roman" w:hAnsi="Times New Roman" w:cs="Times New Roman"/>
                <w:b/>
                <w:bCs/>
                <w:i/>
                <w:iCs/>
                <w:sz w:val="24"/>
                <w:szCs w:val="24"/>
              </w:rPr>
              <w:t>количествено</w:t>
            </w:r>
            <w:r w:rsidRPr="00770D6A">
              <w:rPr>
                <w:rFonts w:ascii="Times New Roman" w:hAnsi="Times New Roman" w:cs="Times New Roman"/>
                <w:i/>
                <w:iCs/>
                <w:sz w:val="24"/>
                <w:szCs w:val="24"/>
              </w:rPr>
              <w:t xml:space="preserve"> състояние в съответния действащ ПУРБ;“</w:t>
            </w:r>
          </w:p>
          <w:p w:rsidR="00813D0C" w:rsidRPr="00770D6A" w:rsidRDefault="00813D0C" w:rsidP="00813D0C">
            <w:pPr>
              <w:numPr>
                <w:ilvl w:val="0"/>
                <w:numId w:val="2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отпадне изискването за обследване на екологичното състояние</w:t>
            </w:r>
            <w:r w:rsidRPr="00770D6A">
              <w:rPr>
                <w:rFonts w:ascii="Times New Roman" w:hAnsi="Times New Roman" w:cs="Times New Roman"/>
                <w:sz w:val="24"/>
                <w:szCs w:val="24"/>
              </w:rPr>
              <w:t>. Съгласно чл. 74 от</w:t>
            </w:r>
            <w:bookmarkStart w:id="6" w:name="_Hlk212732500"/>
            <w:r w:rsidRPr="00770D6A">
              <w:rPr>
                <w:rFonts w:ascii="Times New Roman" w:hAnsi="Times New Roman" w:cs="Times New Roman"/>
                <w:sz w:val="24"/>
                <w:szCs w:val="24"/>
              </w:rPr>
              <w:t xml:space="preserve"> Регламент (ЕС) № 2021/2115</w:t>
            </w:r>
            <w:bookmarkEnd w:id="6"/>
            <w:r w:rsidRPr="00770D6A">
              <w:rPr>
                <w:rFonts w:ascii="Times New Roman" w:hAnsi="Times New Roman" w:cs="Times New Roman"/>
                <w:sz w:val="24"/>
                <w:szCs w:val="24"/>
              </w:rPr>
              <w:t xml:space="preserve"> се обследва само количественото състояние на водното тяло, от което се черпи водата.</w:t>
            </w: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spacing w:line="276" w:lineRule="auto"/>
              <w:jc w:val="both"/>
              <w:rPr>
                <w:rFonts w:ascii="Times New Roman" w:hAnsi="Times New Roman" w:cs="Times New Roman"/>
                <w:b/>
                <w:bCs/>
                <w:sz w:val="24"/>
                <w:szCs w:val="24"/>
              </w:rPr>
            </w:pPr>
          </w:p>
          <w:p w:rsidR="00813D0C" w:rsidRPr="00770D6A" w:rsidRDefault="00813D0C" w:rsidP="00813D0C">
            <w:pPr>
              <w:numPr>
                <w:ilvl w:val="0"/>
                <w:numId w:val="2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се намали от 20% на 10% ПИВ</w:t>
            </w:r>
            <w:r w:rsidRPr="00770D6A">
              <w:rPr>
                <w:rFonts w:ascii="Times New Roman" w:hAnsi="Times New Roman" w:cs="Times New Roman"/>
                <w:sz w:val="24"/>
                <w:szCs w:val="24"/>
              </w:rPr>
              <w:t xml:space="preserve">. Предложените от УО 20% са </w:t>
            </w:r>
            <w:r w:rsidRPr="00770D6A">
              <w:rPr>
                <w:rFonts w:ascii="Times New Roman" w:hAnsi="Times New Roman" w:cs="Times New Roman"/>
                <w:b/>
                <w:bCs/>
                <w:sz w:val="24"/>
                <w:szCs w:val="24"/>
              </w:rPr>
              <w:t>много висока норма</w:t>
            </w:r>
            <w:r w:rsidRPr="00770D6A">
              <w:rPr>
                <w:rFonts w:ascii="Times New Roman" w:hAnsi="Times New Roman" w:cs="Times New Roman"/>
                <w:sz w:val="24"/>
                <w:szCs w:val="24"/>
              </w:rPr>
              <w:t>, която е трудна за постигане. В предходния програмен период изискването по Регламент беше 15%. Прилагайки нормативно определените норми за напояване, ПИВ на повечето проекти е много малко над 15% (и то в зависимост от хидромелиоративния район по агроклиматичните групи). Съгласно настоящия Регламент (ЕС) № 2021/2115, всяка държава членка определя сама процента икономия. Не е известно в стратегически или нормативен документ в България ПИВ да е определен на 20%. Ако УО иска да стимулира инвестициите в напояването, трябва да намали процента на потенциалната икономия под 15%.</w:t>
            </w:r>
          </w:p>
          <w:p w:rsidR="00813D0C" w:rsidRPr="00770D6A" w:rsidRDefault="00813D0C" w:rsidP="00813D0C">
            <w:pPr>
              <w:numPr>
                <w:ilvl w:val="0"/>
                <w:numId w:val="2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„21. В съответствие с раздел Б. „Мерки и условия за изпълнение при прилагането на СПРЗСР“ от Становище по екологична оценка № 5-4/2023 г., с което се съгласува Стратегическият план, достъпно на интернет адрес: </w:t>
            </w:r>
            <w:hyperlink r:id="rId13" w:history="1">
              <w:r w:rsidRPr="00770D6A">
                <w:rPr>
                  <w:rStyle w:val="Hyperlink"/>
                  <w:rFonts w:ascii="Times New Roman" w:hAnsi="Times New Roman" w:cs="Times New Roman"/>
                  <w:i/>
                  <w:iCs/>
                  <w:sz w:val="24"/>
                  <w:szCs w:val="24"/>
                </w:rPr>
                <w:t>https://www.moew.government.bg/bg/stanoviste-po-ekologichna-ocenka-5-4-2...</w:t>
              </w:r>
            </w:hyperlink>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21.1. и 21.2 … съгласно цифрови географски данни за разпространението им, представени от Министерство на околната среда и водите (МОСВ) не по-късно от 01.11.2023 г……“</w:t>
            </w:r>
          </w:p>
          <w:p w:rsidR="00813D0C" w:rsidRPr="00770D6A" w:rsidRDefault="00813D0C" w:rsidP="00813D0C">
            <w:pPr>
              <w:numPr>
                <w:ilvl w:val="0"/>
                <w:numId w:val="28"/>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Да се посочи линк към посочените цифрови географски данни за извършване на проверки от кандидатите.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10.2. Недопустими разходи</w:t>
            </w:r>
          </w:p>
          <w:p w:rsidR="00813D0C" w:rsidRPr="00770D6A" w:rsidRDefault="00813D0C" w:rsidP="00813D0C">
            <w:pPr>
              <w:numPr>
                <w:ilvl w:val="0"/>
                <w:numId w:val="2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„19. Разходи за мобилни/</w:t>
            </w:r>
            <w:r w:rsidRPr="00770D6A">
              <w:rPr>
                <w:rFonts w:ascii="Times New Roman" w:hAnsi="Times New Roman" w:cs="Times New Roman"/>
                <w:b/>
                <w:bCs/>
                <w:i/>
                <w:iCs/>
                <w:sz w:val="24"/>
                <w:szCs w:val="24"/>
              </w:rPr>
              <w:t>преместваеми</w:t>
            </w:r>
            <w:r w:rsidRPr="00770D6A">
              <w:rPr>
                <w:rFonts w:ascii="Times New Roman" w:hAnsi="Times New Roman" w:cs="Times New Roman"/>
                <w:i/>
                <w:iCs/>
                <w:sz w:val="24"/>
                <w:szCs w:val="24"/>
              </w:rPr>
              <w:t xml:space="preserve"> инсталации за производство </w:t>
            </w:r>
            <w:r w:rsidRPr="00770D6A">
              <w:rPr>
                <w:rFonts w:ascii="Times New Roman" w:hAnsi="Times New Roman" w:cs="Times New Roman"/>
                <w:b/>
                <w:bCs/>
                <w:i/>
                <w:iCs/>
                <w:sz w:val="24"/>
                <w:szCs w:val="24"/>
              </w:rPr>
              <w:t>и/или съхранение на енергия от ВЕИ</w:t>
            </w:r>
            <w:r w:rsidRPr="00770D6A">
              <w:rPr>
                <w:rFonts w:ascii="Times New Roman" w:hAnsi="Times New Roman" w:cs="Times New Roman"/>
                <w:i/>
                <w:iCs/>
                <w:sz w:val="24"/>
                <w:szCs w:val="24"/>
              </w:rPr>
              <w:t>.“</w:t>
            </w:r>
          </w:p>
          <w:p w:rsidR="00813D0C" w:rsidRPr="00770D6A" w:rsidRDefault="00813D0C" w:rsidP="00813D0C">
            <w:pPr>
              <w:numPr>
                <w:ilvl w:val="0"/>
                <w:numId w:val="3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Съоръжението за Съхранение на енергия (батерия) в повечето случаи е </w:t>
            </w:r>
            <w:r w:rsidRPr="00770D6A">
              <w:rPr>
                <w:rFonts w:ascii="Times New Roman" w:hAnsi="Times New Roman" w:cs="Times New Roman"/>
                <w:b/>
                <w:bCs/>
                <w:sz w:val="24"/>
                <w:szCs w:val="24"/>
              </w:rPr>
              <w:t>преместваем</w:t>
            </w:r>
            <w:r w:rsidRPr="00770D6A">
              <w:rPr>
                <w:rFonts w:ascii="Times New Roman" w:hAnsi="Times New Roman" w:cs="Times New Roman"/>
                <w:sz w:val="24"/>
                <w:szCs w:val="24"/>
              </w:rPr>
              <w:t xml:space="preserve"> обект съгласно ЗУТ и за него главните архитекти издават разрешение за </w:t>
            </w:r>
            <w:r w:rsidRPr="00770D6A">
              <w:rPr>
                <w:rFonts w:ascii="Times New Roman" w:hAnsi="Times New Roman" w:cs="Times New Roman"/>
                <w:b/>
                <w:bCs/>
                <w:sz w:val="24"/>
                <w:szCs w:val="24"/>
              </w:rPr>
              <w:t>поставяне на точно определено място в имота</w:t>
            </w:r>
            <w:r w:rsidRPr="00770D6A">
              <w:rPr>
                <w:rFonts w:ascii="Times New Roman" w:hAnsi="Times New Roman" w:cs="Times New Roman"/>
                <w:sz w:val="24"/>
                <w:szCs w:val="24"/>
              </w:rPr>
              <w:t xml:space="preserve">, като се съобразява начин за свързване към електрическата инсталация и отстояния от други обекти и граници на имотите! Да са махне от недопустимите разходи.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11.2. Методика за прилагане на критериите за подбор</w:t>
            </w:r>
          </w:p>
          <w:p w:rsidR="00813D0C" w:rsidRPr="00770D6A" w:rsidRDefault="00813D0C" w:rsidP="00813D0C">
            <w:pPr>
              <w:numPr>
                <w:ilvl w:val="0"/>
                <w:numId w:val="3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„1. По Критерий 1.1 приоритет получават заявления за подпомагане, представени от кандидати, за които след 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 е установено, че имат сключен действащ договор за контрол и сертификация с контролиращо лице преди 01.01.2025 г. с актуални данни за всички култури/животни за стопанската 2024/2025 г., с които се кандидатства (по група на културите и размер на площите и/или по вид и брой на животните) и същите са описани в Приложение № 3 „Бизнес план - образец“.</w:t>
            </w:r>
          </w:p>
          <w:p w:rsidR="00813D0C" w:rsidRPr="00770D6A" w:rsidRDefault="00813D0C" w:rsidP="00813D0C">
            <w:pPr>
              <w:numPr>
                <w:ilvl w:val="0"/>
                <w:numId w:val="3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1.2. </w:t>
            </w:r>
            <w:r w:rsidRPr="00770D6A">
              <w:rPr>
                <w:rFonts w:ascii="Times New Roman" w:hAnsi="Times New Roman" w:cs="Times New Roman"/>
                <w:b/>
                <w:bCs/>
                <w:i/>
                <w:iCs/>
                <w:sz w:val="24"/>
                <w:szCs w:val="24"/>
              </w:rPr>
              <w:t>Допустимите инвестиционни разходи</w:t>
            </w:r>
            <w:r w:rsidRPr="00770D6A">
              <w:rPr>
                <w:rFonts w:ascii="Times New Roman" w:hAnsi="Times New Roman" w:cs="Times New Roman"/>
                <w:i/>
                <w:iCs/>
                <w:sz w:val="24"/>
                <w:szCs w:val="24"/>
              </w:rPr>
              <w:t>, които се използват едновременно и за дейности, свързани с производство, съхранение и продажба на конвенционални селскостопански култури/животни, не се считат за разходи, насочени към производство на биологични продукти.“</w:t>
            </w:r>
          </w:p>
          <w:p w:rsidR="00813D0C" w:rsidRPr="00770D6A" w:rsidRDefault="00813D0C" w:rsidP="00813D0C">
            <w:pPr>
              <w:numPr>
                <w:ilvl w:val="0"/>
                <w:numId w:val="32"/>
              </w:numPr>
              <w:tabs>
                <w:tab w:val="clear" w:pos="720"/>
              </w:tabs>
              <w:spacing w:line="276" w:lineRule="auto"/>
              <w:ind w:left="0" w:firstLine="0"/>
              <w:jc w:val="both"/>
              <w:rPr>
                <w:rFonts w:ascii="Times New Roman" w:hAnsi="Times New Roman" w:cs="Times New Roman"/>
                <w:sz w:val="24"/>
                <w:szCs w:val="24"/>
              </w:rPr>
            </w:pPr>
            <w:bookmarkStart w:id="7" w:name="_Hlk212633431"/>
            <w:r w:rsidRPr="00770D6A">
              <w:rPr>
                <w:rFonts w:ascii="Times New Roman" w:hAnsi="Times New Roman" w:cs="Times New Roman"/>
                <w:sz w:val="24"/>
                <w:szCs w:val="24"/>
              </w:rPr>
              <w:t xml:space="preserve">Да отпадне точка 1.2., тъй като Критерият за </w:t>
            </w:r>
            <w:r w:rsidRPr="00770D6A">
              <w:rPr>
                <w:rFonts w:ascii="Times New Roman" w:hAnsi="Times New Roman" w:cs="Times New Roman"/>
                <w:b/>
                <w:bCs/>
                <w:sz w:val="24"/>
                <w:szCs w:val="24"/>
              </w:rPr>
              <w:t>биологично производство</w:t>
            </w:r>
            <w:r w:rsidRPr="00770D6A">
              <w:rPr>
                <w:rFonts w:ascii="Times New Roman" w:hAnsi="Times New Roman" w:cs="Times New Roman"/>
                <w:sz w:val="24"/>
                <w:szCs w:val="24"/>
              </w:rPr>
              <w:t xml:space="preserve"> е свързан с </w:t>
            </w:r>
            <w:r w:rsidRPr="00770D6A">
              <w:rPr>
                <w:rFonts w:ascii="Times New Roman" w:hAnsi="Times New Roman" w:cs="Times New Roman"/>
                <w:b/>
                <w:bCs/>
                <w:sz w:val="24"/>
                <w:szCs w:val="24"/>
              </w:rPr>
              <w:t>видовете</w:t>
            </w:r>
            <w:r w:rsidRPr="00770D6A">
              <w:rPr>
                <w:rFonts w:ascii="Times New Roman" w:hAnsi="Times New Roman" w:cs="Times New Roman"/>
                <w:sz w:val="24"/>
                <w:szCs w:val="24"/>
              </w:rPr>
              <w:t xml:space="preserve"> култури, а </w:t>
            </w:r>
            <w:r w:rsidRPr="00770D6A">
              <w:rPr>
                <w:rFonts w:ascii="Times New Roman" w:hAnsi="Times New Roman" w:cs="Times New Roman"/>
                <w:b/>
                <w:bCs/>
                <w:sz w:val="24"/>
                <w:szCs w:val="24"/>
              </w:rPr>
              <w:t>не с инвестициите</w:t>
            </w:r>
            <w:r w:rsidRPr="00770D6A">
              <w:rPr>
                <w:rFonts w:ascii="Times New Roman" w:hAnsi="Times New Roman" w:cs="Times New Roman"/>
                <w:sz w:val="24"/>
                <w:szCs w:val="24"/>
              </w:rPr>
              <w:t>. От друга страна, в земеделското производство е неминуемо използването на едни и същи активи за двете системи на производство, като в Регламент 848 няма ограничения по отношение двойната употреба. Сертификатът за биологично производство е свързан със земята / животните и при стопанства в преход, чиито земи / животни са включени под контрол след 01.01.2025 г. не могат да бъдат ограничени инвестициите за използване!</w:t>
            </w:r>
            <w:bookmarkEnd w:id="7"/>
          </w:p>
          <w:p w:rsidR="00813D0C" w:rsidRPr="00770D6A" w:rsidRDefault="00813D0C" w:rsidP="00813D0C">
            <w:pPr>
              <w:numPr>
                <w:ilvl w:val="0"/>
                <w:numId w:val="3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„2. По Критерий 1.2. за присъждане на предимство се извършва служебна проверка в съответния регистър на производители на продукти със защитени наименования за произход, защитени географски указания, храни с традиционно специфичен характер и незадължителния термини за качество планински продукт, вписани по европейските схеми за качество, публикувани в </w:t>
            </w:r>
            <w:hyperlink r:id="rId14" w:history="1">
              <w:r w:rsidRPr="00770D6A">
                <w:rPr>
                  <w:rStyle w:val="Hyperlink"/>
                  <w:rFonts w:ascii="Times New Roman" w:hAnsi="Times New Roman" w:cs="Times New Roman"/>
                  <w:i/>
                  <w:iCs/>
                  <w:sz w:val="24"/>
                  <w:szCs w:val="24"/>
                </w:rPr>
                <w:t>https://www.mzh.government.bg/bg/politiki-i-programi/politiki-i-strategi...</w:t>
              </w:r>
            </w:hyperlink>
            <w:r w:rsidRPr="00770D6A">
              <w:rPr>
                <w:rFonts w:ascii="Times New Roman" w:hAnsi="Times New Roman" w:cs="Times New Roman"/>
                <w:i/>
                <w:iCs/>
                <w:sz w:val="24"/>
                <w:szCs w:val="24"/>
              </w:rPr>
              <w:t>.</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2.1. </w:t>
            </w:r>
            <w:r w:rsidRPr="00770D6A">
              <w:rPr>
                <w:rFonts w:ascii="Times New Roman" w:hAnsi="Times New Roman" w:cs="Times New Roman"/>
                <w:b/>
                <w:bCs/>
                <w:i/>
                <w:iCs/>
                <w:sz w:val="24"/>
                <w:szCs w:val="24"/>
              </w:rPr>
              <w:t>Допустимите инвестиционни разходи</w:t>
            </w:r>
            <w:r w:rsidRPr="00770D6A">
              <w:rPr>
                <w:rFonts w:ascii="Times New Roman" w:hAnsi="Times New Roman" w:cs="Times New Roman"/>
                <w:i/>
                <w:iCs/>
                <w:sz w:val="24"/>
                <w:szCs w:val="24"/>
              </w:rPr>
              <w:t>, които се използват едновременно и за дейности, свързани с производство, съхранение и продажба на други селскостопански продукти и храни, вкл. суровини за производството им не се считат за разходи, насочени към производство на продукти, вписани по европейските схеми за качество.“</w:t>
            </w:r>
          </w:p>
          <w:p w:rsidR="00813D0C" w:rsidRPr="00770D6A" w:rsidRDefault="00813D0C" w:rsidP="00813D0C">
            <w:pPr>
              <w:numPr>
                <w:ilvl w:val="0"/>
                <w:numId w:val="34"/>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Да отпадне точка 2.1., тъй като Критерият за </w:t>
            </w:r>
            <w:r w:rsidRPr="00770D6A">
              <w:rPr>
                <w:rFonts w:ascii="Times New Roman" w:hAnsi="Times New Roman" w:cs="Times New Roman"/>
                <w:b/>
                <w:bCs/>
                <w:sz w:val="24"/>
                <w:szCs w:val="24"/>
              </w:rPr>
              <w:t>схеми за качество</w:t>
            </w:r>
            <w:r w:rsidRPr="00770D6A">
              <w:rPr>
                <w:rFonts w:ascii="Times New Roman" w:hAnsi="Times New Roman" w:cs="Times New Roman"/>
                <w:sz w:val="24"/>
                <w:szCs w:val="24"/>
              </w:rPr>
              <w:t xml:space="preserve"> производство е свързан с </w:t>
            </w:r>
            <w:r w:rsidRPr="00770D6A">
              <w:rPr>
                <w:rFonts w:ascii="Times New Roman" w:hAnsi="Times New Roman" w:cs="Times New Roman"/>
                <w:b/>
                <w:bCs/>
                <w:sz w:val="24"/>
                <w:szCs w:val="24"/>
              </w:rPr>
              <w:t>видовете продукти</w:t>
            </w:r>
            <w:r w:rsidRPr="00770D6A">
              <w:rPr>
                <w:rFonts w:ascii="Times New Roman" w:hAnsi="Times New Roman" w:cs="Times New Roman"/>
                <w:sz w:val="24"/>
                <w:szCs w:val="24"/>
              </w:rPr>
              <w:t xml:space="preserve">, а </w:t>
            </w:r>
            <w:r w:rsidRPr="00770D6A">
              <w:rPr>
                <w:rFonts w:ascii="Times New Roman" w:hAnsi="Times New Roman" w:cs="Times New Roman"/>
                <w:b/>
                <w:bCs/>
                <w:sz w:val="24"/>
                <w:szCs w:val="24"/>
              </w:rPr>
              <w:t>не с</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инвестициите</w:t>
            </w:r>
            <w:r w:rsidRPr="00770D6A">
              <w:rPr>
                <w:rFonts w:ascii="Times New Roman" w:hAnsi="Times New Roman" w:cs="Times New Roman"/>
                <w:sz w:val="24"/>
                <w:szCs w:val="24"/>
              </w:rPr>
              <w:t>.</w:t>
            </w:r>
          </w:p>
          <w:p w:rsidR="00813D0C" w:rsidRPr="00770D6A" w:rsidRDefault="00813D0C" w:rsidP="00813D0C">
            <w:pPr>
              <w:numPr>
                <w:ilvl w:val="0"/>
                <w:numId w:val="3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„8. За получаване на предимство по критерий 5.2., инвестиции и дейности, които се изпълняват на територията на необлагодетелствани райони и райони с природни и други ограничения са такива, за които са изпълнени </w:t>
            </w:r>
            <w:r w:rsidRPr="00770D6A">
              <w:rPr>
                <w:rFonts w:ascii="Times New Roman" w:hAnsi="Times New Roman" w:cs="Times New Roman"/>
                <w:b/>
                <w:bCs/>
                <w:i/>
                <w:iCs/>
                <w:sz w:val="24"/>
                <w:szCs w:val="24"/>
              </w:rPr>
              <w:t>едновременно</w:t>
            </w:r>
            <w:r w:rsidRPr="00770D6A">
              <w:rPr>
                <w:rFonts w:ascii="Times New Roman" w:hAnsi="Times New Roman" w:cs="Times New Roman"/>
                <w:i/>
                <w:iCs/>
                <w:sz w:val="24"/>
                <w:szCs w:val="24"/>
              </w:rPr>
              <w:t xml:space="preserve"> следните условия: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1. дейностите, включени в заявлението за подпомагане, за които се кандидатства, се изпълняват на територията на населено място, чието землище попада в необлагодетелстван район съгласно Наредбата за определяне на критериите за необлагодетелстваните райони и териториалния им обхват, приета с ПМС № 30 от 2008 г. (обн., ДВ, бр. 20 от 2008 г.; изм., бр. 53 от 2011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2. най-малко</w:t>
            </w:r>
            <w:bookmarkStart w:id="8" w:name="_Hlk212634005"/>
            <w:r w:rsidRPr="00770D6A">
              <w:rPr>
                <w:rFonts w:ascii="Times New Roman" w:hAnsi="Times New Roman" w:cs="Times New Roman"/>
                <w:i/>
                <w:iCs/>
                <w:sz w:val="24"/>
                <w:szCs w:val="24"/>
              </w:rPr>
              <w:t xml:space="preserve"> 75 на сто от посочената в бизнес плана земя или площ се намира в необлагодетелстван район</w:t>
            </w:r>
            <w:bookmarkEnd w:id="8"/>
            <w:r w:rsidRPr="00770D6A">
              <w:rPr>
                <w:rFonts w:ascii="Times New Roman" w:hAnsi="Times New Roman" w:cs="Times New Roman"/>
                <w:i/>
                <w:iCs/>
                <w:sz w:val="24"/>
                <w:szCs w:val="24"/>
              </w:rPr>
              <w:t>.“</w:t>
            </w:r>
          </w:p>
          <w:p w:rsidR="00813D0C" w:rsidRPr="00770D6A" w:rsidRDefault="00813D0C" w:rsidP="00813D0C">
            <w:pPr>
              <w:numPr>
                <w:ilvl w:val="0"/>
                <w:numId w:val="3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се направи изключение</w:t>
            </w:r>
            <w:r w:rsidRPr="00770D6A">
              <w:rPr>
                <w:rFonts w:ascii="Times New Roman" w:hAnsi="Times New Roman" w:cs="Times New Roman"/>
                <w:sz w:val="24"/>
                <w:szCs w:val="24"/>
              </w:rPr>
              <w:t xml:space="preserve"> от изискването за </w:t>
            </w:r>
            <w:r w:rsidRPr="00770D6A">
              <w:rPr>
                <w:rFonts w:ascii="Times New Roman" w:hAnsi="Times New Roman" w:cs="Times New Roman"/>
                <w:b/>
                <w:bCs/>
                <w:sz w:val="24"/>
                <w:szCs w:val="24"/>
              </w:rPr>
              <w:t>едновременно</w:t>
            </w:r>
            <w:r w:rsidRPr="00770D6A">
              <w:rPr>
                <w:rFonts w:ascii="Times New Roman" w:hAnsi="Times New Roman" w:cs="Times New Roman"/>
                <w:sz w:val="24"/>
                <w:szCs w:val="24"/>
              </w:rPr>
              <w:t xml:space="preserve"> изпълнение на двете условия в случаите, в които инвестициите са </w:t>
            </w:r>
            <w:r w:rsidRPr="00770D6A">
              <w:rPr>
                <w:rFonts w:ascii="Times New Roman" w:hAnsi="Times New Roman" w:cs="Times New Roman"/>
                <w:b/>
                <w:bCs/>
                <w:sz w:val="24"/>
                <w:szCs w:val="24"/>
              </w:rPr>
              <w:t>изцяло насочени към обработка на площите</w:t>
            </w:r>
            <w:r w:rsidRPr="00770D6A">
              <w:rPr>
                <w:rFonts w:ascii="Times New Roman" w:hAnsi="Times New Roman" w:cs="Times New Roman"/>
                <w:sz w:val="24"/>
                <w:szCs w:val="24"/>
              </w:rPr>
              <w:t xml:space="preserve"> (т.2) и няма инвестиции в населените места (т.1). Това са случаите на проекти със системи за напояване, земеделска техника за обработка на площите. Тези инвестиции са „в полето“, а не „в населените места“ и ако се изпълняват в необлагодетелствани райони (в „полето“, т.е. само условие 2) е редно да получат точки по критерия </w:t>
            </w:r>
          </w:p>
          <w:p w:rsidR="00813D0C" w:rsidRPr="00770D6A" w:rsidRDefault="00813D0C" w:rsidP="00813D0C">
            <w:pPr>
              <w:numPr>
                <w:ilvl w:val="0"/>
                <w:numId w:val="3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Да се уточни, че изчислението на </w:t>
            </w:r>
            <w:r w:rsidRPr="00770D6A">
              <w:rPr>
                <w:rFonts w:ascii="Times New Roman" w:hAnsi="Times New Roman" w:cs="Times New Roman"/>
                <w:i/>
                <w:iCs/>
                <w:sz w:val="24"/>
                <w:szCs w:val="24"/>
              </w:rPr>
              <w:t xml:space="preserve">„75 на сто от посочената в бизнес плана земя или площ се намира в необлагодетелстван район“ </w:t>
            </w:r>
            <w:r w:rsidRPr="00770D6A">
              <w:rPr>
                <w:rFonts w:ascii="Times New Roman" w:hAnsi="Times New Roman" w:cs="Times New Roman"/>
                <w:sz w:val="24"/>
                <w:szCs w:val="24"/>
              </w:rPr>
              <w:t xml:space="preserve">се </w:t>
            </w:r>
            <w:r w:rsidRPr="00770D6A">
              <w:rPr>
                <w:rFonts w:ascii="Times New Roman" w:hAnsi="Times New Roman" w:cs="Times New Roman"/>
                <w:b/>
                <w:bCs/>
                <w:sz w:val="24"/>
                <w:szCs w:val="24"/>
              </w:rPr>
              <w:t>извършва въз основа на данни към датата на кандидатстване</w:t>
            </w:r>
            <w:r w:rsidRPr="00770D6A">
              <w:rPr>
                <w:rFonts w:ascii="Times New Roman" w:hAnsi="Times New Roman" w:cs="Times New Roman"/>
                <w:sz w:val="24"/>
                <w:szCs w:val="24"/>
              </w:rPr>
              <w:t>.</w:t>
            </w:r>
          </w:p>
          <w:p w:rsidR="00813D0C" w:rsidRPr="00770D6A" w:rsidRDefault="00813D0C" w:rsidP="00813D0C">
            <w:pPr>
              <w:numPr>
                <w:ilvl w:val="0"/>
                <w:numId w:val="3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Да </w:t>
            </w:r>
            <w:r w:rsidRPr="00770D6A">
              <w:rPr>
                <w:rFonts w:ascii="Times New Roman" w:hAnsi="Times New Roman" w:cs="Times New Roman"/>
                <w:b/>
                <w:bCs/>
                <w:sz w:val="24"/>
                <w:szCs w:val="24"/>
              </w:rPr>
              <w:t>не се присъждат точки</w:t>
            </w:r>
            <w:r w:rsidRPr="00770D6A">
              <w:rPr>
                <w:rFonts w:ascii="Times New Roman" w:hAnsi="Times New Roman" w:cs="Times New Roman"/>
                <w:sz w:val="24"/>
                <w:szCs w:val="24"/>
              </w:rPr>
              <w:t xml:space="preserve"> на кандидат, който </w:t>
            </w:r>
            <w:r w:rsidRPr="00770D6A">
              <w:rPr>
                <w:rFonts w:ascii="Times New Roman" w:hAnsi="Times New Roman" w:cs="Times New Roman"/>
                <w:b/>
                <w:bCs/>
                <w:sz w:val="24"/>
                <w:szCs w:val="24"/>
              </w:rPr>
              <w:t>към датата на кандидатстване</w:t>
            </w:r>
            <w:r w:rsidRPr="00770D6A">
              <w:rPr>
                <w:rFonts w:ascii="Times New Roman" w:hAnsi="Times New Roman" w:cs="Times New Roman"/>
                <w:sz w:val="24"/>
                <w:szCs w:val="24"/>
              </w:rPr>
              <w:t xml:space="preserve"> няма земи в НР, но обещава да обработва земи в НР.</w:t>
            </w:r>
          </w:p>
          <w:p w:rsidR="00813D0C" w:rsidRPr="00770D6A" w:rsidRDefault="00813D0C" w:rsidP="00813D0C">
            <w:pPr>
              <w:numPr>
                <w:ilvl w:val="0"/>
                <w:numId w:val="3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Да се посочи от къде ще се взимат данните за това посочените площи в бизнес плана в кое землище са. Към момента в бизнес плана се посочва общо площта, която ще се обработва като същата може да е съставена от земи в различни землища, някои от които са в НР, други не са в НР. Може би е удачно в табл. 4 в бизнес плана да се въведе колона ЕКАТТЕ на землището.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12.1. Общи документи</w:t>
            </w:r>
          </w:p>
          <w:p w:rsidR="00813D0C" w:rsidRPr="00770D6A" w:rsidRDefault="00813D0C" w:rsidP="00813D0C">
            <w:pPr>
              <w:numPr>
                <w:ilvl w:val="0"/>
                <w:numId w:val="37"/>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„2. Решение на компетентния орган на кандидата за кандидатстване по реда на настоящите условия -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 Не се изисква за ФЛ, ЕТ и ЕООД;“</w:t>
            </w:r>
          </w:p>
          <w:p w:rsidR="00813D0C" w:rsidRPr="00770D6A" w:rsidRDefault="00813D0C" w:rsidP="00813D0C">
            <w:pPr>
              <w:numPr>
                <w:ilvl w:val="0"/>
                <w:numId w:val="38"/>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този документ да отпадне.</w:t>
            </w:r>
          </w:p>
          <w:p w:rsidR="00813D0C" w:rsidRPr="00770D6A" w:rsidRDefault="00813D0C" w:rsidP="00813D0C">
            <w:pPr>
              <w:numPr>
                <w:ilvl w:val="0"/>
                <w:numId w:val="3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„8. Влязъл в сила административен акт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 </w:t>
            </w:r>
            <w:r w:rsidRPr="00770D6A">
              <w:rPr>
                <w:rFonts w:ascii="Times New Roman" w:hAnsi="Times New Roman" w:cs="Times New Roman"/>
                <w:b/>
                <w:bCs/>
                <w:i/>
                <w:iCs/>
                <w:sz w:val="24"/>
                <w:szCs w:val="24"/>
              </w:rPr>
              <w:t>както и документ за спазване на поставените условия и мерки по т. 21</w:t>
            </w:r>
            <w:r w:rsidRPr="00770D6A">
              <w:rPr>
                <w:rFonts w:ascii="Times New Roman" w:hAnsi="Times New Roman" w:cs="Times New Roman"/>
                <w:i/>
                <w:iCs/>
                <w:sz w:val="24"/>
                <w:szCs w:val="24"/>
              </w:rPr>
              <w:t xml:space="preserve"> от Раздел 9.1. „Условия за допустимост на дейностите/инвестициите, в т.ч. срок за изпълнение на одобрените заявления за подпомагане“, издаден от този орган.  - Представя се в случаите, когато издаването на документа се изисква по ЗООС и/или по ЗВ.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rsidR="00813D0C" w:rsidRPr="00770D6A" w:rsidRDefault="00813D0C" w:rsidP="00813D0C">
            <w:pPr>
              <w:numPr>
                <w:ilvl w:val="0"/>
                <w:numId w:val="4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да отпадне изискването за предоставяне на документ за условията по т.21 от Раздел 9.1., тъй като РИОСВ не издават такъв документ!</w:t>
            </w:r>
          </w:p>
          <w:p w:rsidR="00813D0C" w:rsidRPr="00770D6A" w:rsidRDefault="00813D0C" w:rsidP="00813D0C">
            <w:pPr>
              <w:numPr>
                <w:ilvl w:val="0"/>
                <w:numId w:val="4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Да </w:t>
            </w:r>
            <w:r w:rsidRPr="00770D6A">
              <w:rPr>
                <w:rFonts w:ascii="Times New Roman" w:hAnsi="Times New Roman" w:cs="Times New Roman"/>
                <w:b/>
                <w:bCs/>
                <w:sz w:val="24"/>
                <w:szCs w:val="24"/>
              </w:rPr>
              <w:t>се отбележи изрично</w:t>
            </w:r>
            <w:r w:rsidRPr="00770D6A">
              <w:rPr>
                <w:rFonts w:ascii="Times New Roman" w:hAnsi="Times New Roman" w:cs="Times New Roman"/>
                <w:sz w:val="24"/>
                <w:szCs w:val="24"/>
              </w:rPr>
              <w:t xml:space="preserve">, че </w:t>
            </w:r>
            <w:r w:rsidRPr="00770D6A">
              <w:rPr>
                <w:rFonts w:ascii="Times New Roman" w:hAnsi="Times New Roman" w:cs="Times New Roman"/>
                <w:b/>
                <w:bCs/>
                <w:sz w:val="24"/>
                <w:szCs w:val="24"/>
              </w:rPr>
              <w:t>не се изисква документ</w:t>
            </w:r>
            <w:r w:rsidRPr="00770D6A">
              <w:rPr>
                <w:rFonts w:ascii="Times New Roman" w:hAnsi="Times New Roman" w:cs="Times New Roman"/>
                <w:sz w:val="24"/>
                <w:szCs w:val="24"/>
              </w:rPr>
              <w:t xml:space="preserve"> от РИОСВ в случай на кандидатстване за земеделска техника, навигационни системи, софтуер, дронове, машини и оборудване, които са в помещенията (в т.ч. за пакетиране, сортиране, измиване), оборудване за животновъдните обекти) и т.н.</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12.2. Допълнителни документи, доказващи съответствие с приоритет по критериите за оценка</w:t>
            </w:r>
          </w:p>
          <w:p w:rsidR="00813D0C" w:rsidRPr="00770D6A" w:rsidRDefault="00813D0C" w:rsidP="00813D0C">
            <w:pPr>
              <w:numPr>
                <w:ilvl w:val="0"/>
                <w:numId w:val="4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i/>
                <w:iCs/>
                <w:sz w:val="24"/>
                <w:szCs w:val="24"/>
              </w:rPr>
              <w:t xml:space="preserve"> Действащ договор за доставка на суровини с преработвател, вписан в съответния регистър на производители на продукти, вписани по европейските </w:t>
            </w:r>
            <w:r w:rsidRPr="00770D6A">
              <w:rPr>
                <w:rFonts w:ascii="Times New Roman" w:hAnsi="Times New Roman" w:cs="Times New Roman"/>
                <w:b/>
                <w:bCs/>
                <w:i/>
                <w:iCs/>
                <w:sz w:val="24"/>
                <w:szCs w:val="24"/>
              </w:rPr>
              <w:t>схеми за качество</w:t>
            </w:r>
            <w:r w:rsidRPr="00770D6A">
              <w:rPr>
                <w:rFonts w:ascii="Times New Roman" w:hAnsi="Times New Roman" w:cs="Times New Roman"/>
                <w:i/>
                <w:iCs/>
                <w:sz w:val="24"/>
                <w:szCs w:val="24"/>
              </w:rPr>
              <w:t>, в едно с приемо-предавателни протоколи и фактури за извършените доставки.</w:t>
            </w:r>
          </w:p>
          <w:p w:rsidR="00813D0C" w:rsidRPr="00770D6A" w:rsidRDefault="00813D0C" w:rsidP="00813D0C">
            <w:pPr>
              <w:numPr>
                <w:ilvl w:val="0"/>
                <w:numId w:val="4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за да се удостоверява, че са извършени доставки да се изискват само фактури</w:t>
            </w:r>
          </w:p>
          <w:p w:rsidR="00813D0C" w:rsidRPr="00770D6A" w:rsidRDefault="00813D0C" w:rsidP="00813D0C">
            <w:pPr>
              <w:numPr>
                <w:ilvl w:val="0"/>
                <w:numId w:val="4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 xml:space="preserve">Да се признават само фактури с дати преди началото на приема. </w:t>
            </w:r>
            <w:r w:rsidRPr="00770D6A">
              <w:rPr>
                <w:rFonts w:ascii="Times New Roman" w:hAnsi="Times New Roman" w:cs="Times New Roman"/>
                <w:sz w:val="24"/>
                <w:szCs w:val="24"/>
              </w:rPr>
              <w:t>Така ще се предотвратят „изкуствени условия“ и предоставяне на нереални договори, сключени в периода на прием само за да се получат точки по критерия.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Коментари и предложения по Условията за кандидатстване по интервенция Г.1.1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Раздел 10. Допустими разходи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„1.1.3. материални инвестиции за прилагане на технологиите на прецизно/интелигентно/цифрово земеделие - оптимизиране на почвените обработки, употребата на торове и препарати за растителна защита, прецизно напояване (системи и оборудване, използвани за събиране, обработка и анализ, отдалечен контрол, управление и мониторинг на данни за поливни норми, с изключение на инвестиции в елементи от напоителната инфраструктура), превенция на болести по животните, регенеративно/консервационно земеделие, събиране и анализ на данни за отпадъците, генерирани от земеделското производство, проследяване на емисиите парникови газове в стопанството, като например (неизчерпателен списък): сензори, дронове, изкуствен интелект, сателитни изображения, автоматизация и роботика, вкл. земеделска техника с такива компоненти.“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Да се допълни неизчерпателният списък с:</w:t>
            </w:r>
          </w:p>
          <w:p w:rsidR="00813D0C" w:rsidRPr="00770D6A" w:rsidRDefault="00813D0C" w:rsidP="00813D0C">
            <w:pPr>
              <w:numPr>
                <w:ilvl w:val="0"/>
                <w:numId w:val="4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„Автоматизирани/роботизирани системи и съоръжения за подготовка на продукцията за продажба, които се използват за една или комбинация от дейности, свързани с почистването, подготовката за съхранение, съхранението, сортирането, маркирането и опаковането на селскостопански  продукти, вкл. прилежащ към тях софтуер.</w:t>
            </w:r>
          </w:p>
          <w:p w:rsidR="00813D0C" w:rsidRPr="00770D6A" w:rsidRDefault="00813D0C" w:rsidP="00813D0C">
            <w:pPr>
              <w:numPr>
                <w:ilvl w:val="0"/>
                <w:numId w:val="4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автоматизирани/роботизирани системи </w:t>
            </w:r>
            <w:bookmarkStart w:id="9" w:name="_Hlk212676060"/>
            <w:r w:rsidRPr="00770D6A">
              <w:rPr>
                <w:rFonts w:ascii="Times New Roman" w:hAnsi="Times New Roman" w:cs="Times New Roman"/>
                <w:sz w:val="24"/>
                <w:szCs w:val="24"/>
              </w:rPr>
              <w:t>използвани в отделните фази по отглеждане на животни</w:t>
            </w:r>
            <w:bookmarkEnd w:id="9"/>
            <w:r w:rsidRPr="00770D6A">
              <w:rPr>
                <w:rFonts w:ascii="Times New Roman" w:hAnsi="Times New Roman" w:cs="Times New Roman"/>
                <w:sz w:val="24"/>
                <w:szCs w:val="24"/>
              </w:rPr>
              <w:t xml:space="preserve"> /хранене, доене, поене, почистване, дезинфекция и др./, вкл. прилежащ към тях софтуер.“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Инвестициите в автоматизирани/роботизирани системи за подготовка на продукцията за продажба, а също така и използваните в отделните фази по отглеждане на животни, ще допринесат за опазването на околната среда, като се намалят разходите на суровини, консумираната енергия и отпадъците при изпълнение на основната дейност на стопанствата.</w:t>
            </w:r>
          </w:p>
          <w:p w:rsidR="00813D0C" w:rsidRPr="00770D6A" w:rsidRDefault="00813D0C" w:rsidP="00813D0C">
            <w:pPr>
              <w:numPr>
                <w:ilvl w:val="0"/>
                <w:numId w:val="44"/>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По отношение на допустимата „</w:t>
            </w:r>
            <w:r w:rsidRPr="00770D6A">
              <w:rPr>
                <w:rFonts w:ascii="Times New Roman" w:hAnsi="Times New Roman" w:cs="Times New Roman"/>
                <w:b/>
                <w:bCs/>
                <w:i/>
                <w:iCs/>
                <w:sz w:val="24"/>
                <w:szCs w:val="24"/>
              </w:rPr>
              <w:t>земеделска техника</w:t>
            </w:r>
            <w:r w:rsidRPr="00770D6A">
              <w:rPr>
                <w:rFonts w:ascii="Times New Roman" w:hAnsi="Times New Roman" w:cs="Times New Roman"/>
                <w:b/>
                <w:bCs/>
                <w:sz w:val="24"/>
                <w:szCs w:val="24"/>
              </w:rPr>
              <w:t xml:space="preserve"> </w:t>
            </w:r>
            <w:r w:rsidRPr="00770D6A">
              <w:rPr>
                <w:rFonts w:ascii="Times New Roman" w:hAnsi="Times New Roman" w:cs="Times New Roman"/>
                <w:b/>
                <w:bCs/>
                <w:i/>
                <w:iCs/>
                <w:sz w:val="24"/>
                <w:szCs w:val="24"/>
              </w:rPr>
              <w:t>с такива компоненти</w:t>
            </w:r>
            <w:r w:rsidRPr="00770D6A">
              <w:rPr>
                <w:rFonts w:ascii="Times New Roman" w:hAnsi="Times New Roman" w:cs="Times New Roman"/>
                <w:sz w:val="24"/>
                <w:szCs w:val="24"/>
              </w:rPr>
              <w:t xml:space="preserve">“ да се направи </w:t>
            </w:r>
            <w:r w:rsidRPr="00770D6A">
              <w:rPr>
                <w:rFonts w:ascii="Times New Roman" w:hAnsi="Times New Roman" w:cs="Times New Roman"/>
                <w:b/>
                <w:bCs/>
                <w:sz w:val="24"/>
                <w:szCs w:val="24"/>
              </w:rPr>
              <w:t>Приложение</w:t>
            </w:r>
            <w:r w:rsidRPr="00770D6A">
              <w:rPr>
                <w:rFonts w:ascii="Times New Roman" w:hAnsi="Times New Roman" w:cs="Times New Roman"/>
                <w:sz w:val="24"/>
                <w:szCs w:val="24"/>
              </w:rPr>
              <w:t xml:space="preserve">, в което да са </w:t>
            </w:r>
            <w:r w:rsidRPr="00770D6A">
              <w:rPr>
                <w:rFonts w:ascii="Times New Roman" w:hAnsi="Times New Roman" w:cs="Times New Roman"/>
                <w:b/>
                <w:bCs/>
                <w:sz w:val="24"/>
                <w:szCs w:val="24"/>
              </w:rPr>
              <w:t>допустими</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само</w:t>
            </w:r>
            <w:r w:rsidRPr="00770D6A">
              <w:rPr>
                <w:rFonts w:ascii="Times New Roman" w:hAnsi="Times New Roman" w:cs="Times New Roman"/>
                <w:sz w:val="24"/>
                <w:szCs w:val="24"/>
              </w:rPr>
              <w:t xml:space="preserve"> активите от Списък на инвестиционни разходи, допринасящи към изпълнение на целите на Инструмента NGEU от Приложение № 1 Към Условия за кандидатстване по прием № BG06RDNP001-4.012 по подмярка 4.1 „Инвестиции в земеделски стопанства“ от мярка 4 „Инвестиции в материални активи“ на Програма за развитие на селските райони за периода 2014-2020 г. Така, за трактори и комбайни ще може да се кандидатства само по II.Г.1. В противен случай, кандидатите за да се „застраховат“ ще подават идентични проекти и по двата приема. Това ще доведе до </w:t>
            </w:r>
            <w:r w:rsidRPr="00770D6A">
              <w:rPr>
                <w:rFonts w:ascii="Times New Roman" w:hAnsi="Times New Roman" w:cs="Times New Roman"/>
                <w:b/>
                <w:bCs/>
                <w:sz w:val="24"/>
                <w:szCs w:val="24"/>
              </w:rPr>
              <w:t>голямо увеличение на броя подадени проекти</w:t>
            </w:r>
            <w:r w:rsidRPr="00770D6A">
              <w:rPr>
                <w:rFonts w:ascii="Times New Roman" w:hAnsi="Times New Roman" w:cs="Times New Roman"/>
                <w:sz w:val="24"/>
                <w:szCs w:val="24"/>
              </w:rPr>
              <w:t xml:space="preserve"> и голямо увеличение на размера на инвестициите. Това от своя страна, ще забави много оценката на проектите!</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Съгласно чл. 15, ал. 2 от Закон за въвеждане на еврото в Република България </w:t>
            </w:r>
            <w:r w:rsidRPr="00770D6A">
              <w:rPr>
                <w:rFonts w:ascii="Times New Roman" w:hAnsi="Times New Roman" w:cs="Times New Roman"/>
                <w:i/>
                <w:sz w:val="24"/>
                <w:szCs w:val="24"/>
              </w:rPr>
              <w:t>„периодът на двойно обозначаване на цените на стоките и услугите в евро и в левове започва на 8 август 2025 г. и приключва на 8 август 2026 г.“</w:t>
            </w:r>
            <w:r w:rsidRPr="00770D6A">
              <w:rPr>
                <w:rFonts w:ascii="Times New Roman" w:hAnsi="Times New Roman" w:cs="Times New Roman"/>
                <w:sz w:val="24"/>
                <w:szCs w:val="24"/>
              </w:rPr>
              <w:t>, т.е. целият период на прием попада в периода на двойното обозначаване на цените.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заявлението за кандидатстване са предвидени указания относно начина на попълване на данните.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Предвид факта, че бизнес плана отразява паричните потоци от дейността в бъдещ период, в Приложение № 3 към Условията за кандидатстване са посочени указания за попълване на данните в евро</w:t>
            </w: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Правната рамка за Националния план за възстановяване и устойчивост и на Стратегическия план са различни и националните правила за прилагането им не могат да се транспонират автоматично.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3.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Предложението за промяна на реда и сроковете за извършване на посещение на място ще бъде взето предвид при последващи изменения на Наредба № 4/2024 г.</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840003" w:rsidRPr="00770D6A" w:rsidRDefault="00840003"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Приема се частично.</w:t>
            </w:r>
          </w:p>
          <w:p w:rsidR="00813D0C" w:rsidRPr="00770D6A" w:rsidRDefault="00813D0C" w:rsidP="00813D0C">
            <w:pPr>
              <w:spacing w:line="276" w:lineRule="auto"/>
              <w:jc w:val="both"/>
              <w:rPr>
                <w:rFonts w:ascii="Times New Roman" w:hAnsi="Times New Roman" w:cs="Times New Roman"/>
                <w:i/>
                <w:sz w:val="24"/>
                <w:szCs w:val="24"/>
              </w:rPr>
            </w:pPr>
            <w:r w:rsidRPr="00770D6A">
              <w:rPr>
                <w:rFonts w:ascii="Times New Roman" w:hAnsi="Times New Roman" w:cs="Times New Roman"/>
                <w:sz w:val="24"/>
                <w:szCs w:val="24"/>
              </w:rPr>
              <w:t xml:space="preserve">Предвид специфичните изисквания за заявления за подпомагане за </w:t>
            </w:r>
            <w:r w:rsidRPr="00770D6A">
              <w:rPr>
                <w:rFonts w:ascii="Times New Roman" w:hAnsi="Times New Roman" w:cs="Times New Roman"/>
                <w:i/>
                <w:sz w:val="24"/>
                <w:szCs w:val="24"/>
              </w:rPr>
              <w:t xml:space="preserve">„съществуваща напоителна инсталация“ </w:t>
            </w:r>
            <w:r w:rsidRPr="00770D6A">
              <w:rPr>
                <w:rFonts w:ascii="Times New Roman" w:hAnsi="Times New Roman" w:cs="Times New Roman"/>
                <w:sz w:val="24"/>
                <w:szCs w:val="24"/>
              </w:rPr>
              <w:t>възниква необходимост от идентифициране на напояваните площи в предходните години, поради което е заложено изискването за описание на кадастрални номера на имотите, които са били напоявани.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7.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Системата за земеделска счетоводна информация (СЗСИ) има за основна цел събиране на информация, необходима за определяне на доходите на земеделските стопанства, както и за бизнес анализ на сектора. Повече информация за системата, обхвата и целите на събираната информация е достъпна на следния електронен адрес - </w:t>
            </w:r>
            <w:hyperlink r:id="rId15" w:history="1">
              <w:r w:rsidRPr="00770D6A">
                <w:rPr>
                  <w:rStyle w:val="Hyperlink"/>
                  <w:rFonts w:ascii="Times New Roman" w:hAnsi="Times New Roman" w:cs="Times New Roman"/>
                  <w:sz w:val="24"/>
                  <w:szCs w:val="24"/>
                </w:rPr>
                <w:t>https://www.mzh.government.bg/bg/statistika-i-analizi/sistema-za-zemedelska-schetovodna-informaciya/sistemata/</w:t>
              </w:r>
            </w:hyperlink>
            <w:r w:rsidRPr="00770D6A">
              <w:rPr>
                <w:rFonts w:ascii="Times New Roman" w:hAnsi="Times New Roman" w:cs="Times New Roman"/>
                <w:sz w:val="24"/>
                <w:szCs w:val="24"/>
              </w:rPr>
              <w:t xml:space="preserve">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Системата за информация за устойчивостта на земеделските стопанства (СИУЗС) е „наследник“ на СЗСИ и е в процес на разработване.</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8.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Изпратено е писмо до МОСВ относно издаването на принципно становище по отношение на съответствието на земеделска техника и прикачен инвентар, софтуер, специализирани транспортни средства и материални и нематериални инвестиции за прилагане на технологиите на прецизно/интелигентно/цифрово земеделие, като например (неизчерпателен списък): сензори, дронове, изкуствен интелект, сателитни изображения, автоматизация и роботика, вкл. земеделска </w:t>
            </w:r>
            <w:r w:rsidRPr="007824BD">
              <w:rPr>
                <w:rFonts w:ascii="Times New Roman" w:hAnsi="Times New Roman" w:cs="Times New Roman"/>
                <w:sz w:val="24"/>
                <w:szCs w:val="24"/>
              </w:rPr>
              <w:t>техника с такива компоненти със ЗООС и/или ЗБР и ЗВ, което да бъде общодостъпно за всички потенциални кандидати с цел улесняване и намаляване на административната тежест.</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9.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Видно от опциите, предвидени в цитираните условия, те касаят случаи на различни правни форми на едно и също физическо лице.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10. Не се приема.</w:t>
            </w:r>
          </w:p>
          <w:p w:rsidR="00813D0C" w:rsidRPr="00770D6A" w:rsidRDefault="00813D0C" w:rsidP="00813D0C">
            <w:pPr>
              <w:spacing w:line="276" w:lineRule="auto"/>
              <w:jc w:val="both"/>
              <w:rPr>
                <w:rFonts w:ascii="Times New Roman" w:hAnsi="Times New Roman" w:cs="Times New Roman"/>
                <w:b/>
                <w:i/>
                <w:sz w:val="24"/>
                <w:szCs w:val="24"/>
              </w:rPr>
            </w:pPr>
            <w:r w:rsidRPr="00770D6A">
              <w:rPr>
                <w:rFonts w:ascii="Times New Roman" w:hAnsi="Times New Roman" w:cs="Times New Roman"/>
                <w:sz w:val="24"/>
                <w:szCs w:val="24"/>
              </w:rPr>
              <w:t>Методиката e вътрешен документ на ДФ „Земеделие“, който има оперативна самостоятелност за извършване на административен контрол с цел спазване на принципа за целесъобразност и недопускане на създаване на изкуствени условия.</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840003" w:rsidRDefault="00840003" w:rsidP="00813D0C">
            <w:pPr>
              <w:spacing w:line="276" w:lineRule="auto"/>
              <w:jc w:val="both"/>
              <w:rPr>
                <w:rFonts w:ascii="Times New Roman" w:hAnsi="Times New Roman" w:cs="Times New Roman"/>
                <w:sz w:val="24"/>
                <w:szCs w:val="24"/>
              </w:rPr>
            </w:pPr>
          </w:p>
          <w:p w:rsidR="00840003" w:rsidRPr="00770D6A" w:rsidRDefault="00840003"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bCs/>
                <w:sz w:val="24"/>
                <w:szCs w:val="24"/>
              </w:rPr>
              <w:t xml:space="preserve">11. </w:t>
            </w:r>
            <w:r w:rsidRPr="00770D6A">
              <w:rPr>
                <w:rFonts w:ascii="Times New Roman" w:hAnsi="Times New Roman" w:cs="Times New Roman"/>
                <w:b/>
                <w:sz w:val="24"/>
                <w:szCs w:val="24"/>
              </w:rPr>
              <w:t>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Добавено е уточнение по отношение на подадени идентични заявления за подпомагане в двата приема.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12.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Текстовете са прецизирани.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УО обръща внимание, че 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се определя срок за тяхното отстраняване. В този случай кандидатът може да предостави данни за оборота на стадото и/или настъпили природни бедствия или катастрофични събития, довели до несъответствието с наличните в Регистъра брой и вид на животните.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824BD" w:rsidRDefault="00813D0C" w:rsidP="00813D0C">
            <w:pPr>
              <w:spacing w:line="276" w:lineRule="auto"/>
              <w:jc w:val="both"/>
              <w:rPr>
                <w:rFonts w:ascii="Times New Roman" w:hAnsi="Times New Roman" w:cs="Times New Roman"/>
                <w:sz w:val="24"/>
                <w:szCs w:val="24"/>
              </w:rPr>
            </w:pPr>
            <w:r w:rsidRPr="007824BD">
              <w:rPr>
                <w:rFonts w:ascii="Times New Roman" w:hAnsi="Times New Roman" w:cs="Times New Roman"/>
                <w:b/>
                <w:sz w:val="24"/>
                <w:szCs w:val="24"/>
              </w:rPr>
              <w:t>13.1. Не се приема.</w:t>
            </w:r>
          </w:p>
          <w:p w:rsidR="00813D0C" w:rsidRPr="007824BD" w:rsidRDefault="00813D0C" w:rsidP="00813D0C">
            <w:pPr>
              <w:spacing w:line="276" w:lineRule="auto"/>
              <w:jc w:val="both"/>
              <w:rPr>
                <w:rFonts w:ascii="Times New Roman" w:hAnsi="Times New Roman" w:cs="Times New Roman"/>
                <w:sz w:val="24"/>
                <w:szCs w:val="24"/>
              </w:rPr>
            </w:pPr>
            <w:r w:rsidRPr="007824BD">
              <w:rPr>
                <w:rFonts w:ascii="Times New Roman" w:hAnsi="Times New Roman" w:cs="Times New Roman"/>
                <w:sz w:val="24"/>
                <w:szCs w:val="24"/>
              </w:rPr>
              <w:t xml:space="preserve">Чл. 74 от Регламент (ЕС) 2021/2115 предвижда специфични изисквания, когато се засягат обекти от подпочвени или повърхностни води с определена категория състояние според причини/съображения, </w:t>
            </w:r>
            <w:r w:rsidRPr="007824BD">
              <w:rPr>
                <w:rFonts w:ascii="Times New Roman" w:hAnsi="Times New Roman" w:cs="Times New Roman"/>
                <w:i/>
                <w:sz w:val="24"/>
                <w:szCs w:val="24"/>
              </w:rPr>
              <w:t>„свързани с количеството на водите“</w:t>
            </w:r>
            <w:r w:rsidRPr="007824BD">
              <w:rPr>
                <w:rFonts w:ascii="Times New Roman" w:hAnsi="Times New Roman" w:cs="Times New Roman"/>
                <w:sz w:val="24"/>
                <w:szCs w:val="24"/>
              </w:rPr>
              <w:t>. В същото време, в т. 72 и т. 73 от Допълнителните разпоредби на Закона за водите (ЗВ) са посочени дефиниции за състоянието на водите, а именно:</w:t>
            </w:r>
          </w:p>
          <w:p w:rsidR="00813D0C" w:rsidRPr="007824BD" w:rsidRDefault="00813D0C" w:rsidP="00813D0C">
            <w:pPr>
              <w:spacing w:line="276" w:lineRule="auto"/>
              <w:jc w:val="both"/>
              <w:rPr>
                <w:rFonts w:ascii="Times New Roman" w:hAnsi="Times New Roman" w:cs="Times New Roman"/>
                <w:i/>
                <w:sz w:val="24"/>
                <w:szCs w:val="24"/>
              </w:rPr>
            </w:pPr>
            <w:r w:rsidRPr="007824BD">
              <w:rPr>
                <w:rFonts w:ascii="Times New Roman" w:hAnsi="Times New Roman" w:cs="Times New Roman"/>
                <w:i/>
                <w:sz w:val="24"/>
                <w:szCs w:val="24"/>
              </w:rPr>
              <w:t>„72. "състояние на повърхностните води" е общ израз за състоянието на повърхностно водно тяло, определено от по-лошото от екологичното и химичното му състояние;</w:t>
            </w:r>
          </w:p>
          <w:p w:rsidR="00813D0C" w:rsidRPr="007824BD" w:rsidRDefault="00813D0C" w:rsidP="00813D0C">
            <w:pPr>
              <w:spacing w:line="276" w:lineRule="auto"/>
              <w:jc w:val="both"/>
              <w:rPr>
                <w:rFonts w:ascii="Times New Roman" w:hAnsi="Times New Roman" w:cs="Times New Roman"/>
                <w:sz w:val="24"/>
                <w:szCs w:val="24"/>
              </w:rPr>
            </w:pPr>
            <w:r w:rsidRPr="007824BD">
              <w:rPr>
                <w:rFonts w:ascii="Times New Roman" w:hAnsi="Times New Roman" w:cs="Times New Roman"/>
                <w:i/>
                <w:sz w:val="24"/>
                <w:szCs w:val="24"/>
              </w:rPr>
              <w:t>73. "състояние на подземните води" е общ израз на състоянието на подземно водно тяло, определено от по-лошото от количественото и химичното му състояние;“</w:t>
            </w:r>
          </w:p>
          <w:p w:rsidR="00813D0C" w:rsidRPr="007824BD" w:rsidRDefault="00813D0C" w:rsidP="00813D0C">
            <w:pPr>
              <w:spacing w:line="276" w:lineRule="auto"/>
              <w:jc w:val="both"/>
              <w:rPr>
                <w:rFonts w:ascii="Times New Roman" w:hAnsi="Times New Roman" w:cs="Times New Roman"/>
                <w:sz w:val="24"/>
                <w:szCs w:val="24"/>
              </w:rPr>
            </w:pPr>
            <w:r w:rsidRPr="007824BD">
              <w:rPr>
                <w:rFonts w:ascii="Times New Roman" w:hAnsi="Times New Roman" w:cs="Times New Roman"/>
                <w:sz w:val="24"/>
                <w:szCs w:val="24"/>
              </w:rPr>
              <w:t>Във връзка с горното е изпратено писмо до МОСВ относно издаването на становище с разяснения и насоки по поставения въпрос.</w:t>
            </w:r>
          </w:p>
          <w:p w:rsidR="00813D0C" w:rsidRPr="007824BD" w:rsidRDefault="00813D0C" w:rsidP="00813D0C">
            <w:pPr>
              <w:spacing w:line="276" w:lineRule="auto"/>
              <w:jc w:val="both"/>
              <w:rPr>
                <w:rFonts w:ascii="Times New Roman" w:hAnsi="Times New Roman" w:cs="Times New Roman"/>
                <w:sz w:val="24"/>
                <w:szCs w:val="24"/>
              </w:rPr>
            </w:pPr>
            <w:r w:rsidRPr="007824BD">
              <w:rPr>
                <w:rFonts w:ascii="Times New Roman" w:hAnsi="Times New Roman" w:cs="Times New Roman"/>
                <w:sz w:val="24"/>
                <w:szCs w:val="24"/>
              </w:rPr>
              <w:t>В допълнение, предвид аналогичното изискване в чл. 46 от Регламент (ЕС) № 1305/2013 за предходния програмен период, в Указания относно подкрепата чрез ЕЗФРСР за инвестиции в напояване, е представено следното становище:</w:t>
            </w:r>
          </w:p>
          <w:p w:rsidR="00813D0C" w:rsidRPr="00770D6A" w:rsidRDefault="00813D0C" w:rsidP="00813D0C">
            <w:pPr>
              <w:spacing w:line="276" w:lineRule="auto"/>
              <w:jc w:val="both"/>
              <w:rPr>
                <w:rFonts w:ascii="Times New Roman" w:hAnsi="Times New Roman" w:cs="Times New Roman"/>
                <w:i/>
                <w:sz w:val="24"/>
                <w:szCs w:val="24"/>
              </w:rPr>
            </w:pPr>
            <w:r w:rsidRPr="007824BD">
              <w:rPr>
                <w:rFonts w:ascii="Times New Roman" w:hAnsi="Times New Roman" w:cs="Times New Roman"/>
                <w:i/>
                <w:sz w:val="24"/>
                <w:szCs w:val="24"/>
              </w:rPr>
              <w:t>„Едно повърхностно водно тяло има „добро състояние“ като цяло, ако има както добро „екологично състояние“, така и добро „химично състояние“ (виж член 2, точка 17, РДВ). Следователно е ясно, че понятието "количествено състояние" не се прилага към повърхностните водни тела. Въпреки това, както е посочено в приложение V на РДВ, екологичното състояние взема предвид "хидроложкия режим", който е поддържащ елемент за качество. Ако едно повърхностно водно тяло няма добро цялостно състояние, за да се определи дали това е поради причини, свързани с количеството на водата, е необходимо само да се проверят неговите качествени елементи, формиращи екологичното състояние, и да се установи дали оценката за параметрите/метриките е чувствителна към хидрологията е поне "добра". (Имайте предвид, че методите за оценка на екологичното състояние, съответстващи на РДВ, трябва да вземат предвид всички съществуващи натиск върху водните тела, включително тези от водовземания.)“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13.2. Не се приема.</w:t>
            </w:r>
            <w:r w:rsidRPr="00770D6A">
              <w:rPr>
                <w:rFonts w:ascii="Times New Roman" w:hAnsi="Times New Roman" w:cs="Times New Roman"/>
                <w:sz w:val="24"/>
                <w:szCs w:val="24"/>
              </w:rPr>
              <w:t xml:space="preserve"> Посоченият показател е в съответствие с текста на интервенцията в одобреният СПРЗСР.</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14.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Цифровите географски данни, посочени в коментара, са интегрирани в ИСАК и за целите на директните плащания за кандидатите се извеждат съответни предупреждения и указания.</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15.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Условията за кандидатстване преместваемите обекти са допустими при представяне на изискуемите документи за това.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16.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тяхната тежест и методиката за прилагането им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допълнение, съгласно текста на самия критерий, вземащ предвид </w:t>
            </w:r>
            <w:r w:rsidRPr="00770D6A">
              <w:rPr>
                <w:rFonts w:ascii="Times New Roman" w:hAnsi="Times New Roman" w:cs="Times New Roman"/>
                <w:i/>
                <w:sz w:val="24"/>
                <w:szCs w:val="24"/>
              </w:rPr>
              <w:t>„селскостопански култури/ животни, които са обект на сключен действащ договор за контрол и сертификация по правилата на биологичното производство“</w:t>
            </w:r>
            <w:r w:rsidRPr="00770D6A">
              <w:rPr>
                <w:rFonts w:ascii="Times New Roman" w:hAnsi="Times New Roman" w:cs="Times New Roman"/>
                <w:sz w:val="24"/>
                <w:szCs w:val="24"/>
              </w:rPr>
              <w:t>, то условието на т. 1.2 от Раздел 11.2. Методика за прилагане на критериите за подбор няма как да бъде прилагано.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17.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тяхната тежест и методиката за прилагането им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допълнение, съгласно текста на самия критерий, вземащ предвид </w:t>
            </w:r>
            <w:r w:rsidRPr="00770D6A">
              <w:rPr>
                <w:rFonts w:ascii="Times New Roman" w:hAnsi="Times New Roman" w:cs="Times New Roman"/>
                <w:i/>
                <w:sz w:val="24"/>
                <w:szCs w:val="24"/>
              </w:rPr>
              <w:t>„селскостопански продукти и храни, вкл. суровини за производството им, за които кандидатът или преработвателят, на който кандидатът е доставчик на суровината за производство е вписан в съответния регистър на производители на продукти, вписани по европейските схеми за качество“</w:t>
            </w:r>
            <w:r w:rsidRPr="00770D6A">
              <w:rPr>
                <w:rFonts w:ascii="Times New Roman" w:hAnsi="Times New Roman" w:cs="Times New Roman"/>
                <w:sz w:val="24"/>
                <w:szCs w:val="24"/>
              </w:rPr>
              <w:t>, то условието на т. 2.1. от Раздел 11.2. Методика за прилагане на критериите за подбор няма как да бъде прилагано.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 xml:space="preserve">18.1. Не се приема. </w:t>
            </w:r>
            <w:r w:rsidRPr="00770D6A">
              <w:rPr>
                <w:rFonts w:ascii="Times New Roman" w:hAnsi="Times New Roman" w:cs="Times New Roman"/>
                <w:sz w:val="24"/>
                <w:szCs w:val="24"/>
              </w:rPr>
              <w:t xml:space="preserve">Дейностите, за които се кандидатства, са пряко свързани с активите, заявени за подпомагане. В тази връзка, следва да се има предвид, че не всички допустими за подпомагане активи са разположени </w:t>
            </w:r>
            <w:r w:rsidRPr="00770D6A">
              <w:rPr>
                <w:rFonts w:ascii="Times New Roman" w:hAnsi="Times New Roman" w:cs="Times New Roman"/>
                <w:i/>
                <w:sz w:val="24"/>
                <w:szCs w:val="24"/>
              </w:rPr>
              <w:t>„в полето“</w:t>
            </w:r>
            <w:r w:rsidRPr="00770D6A">
              <w:rPr>
                <w:rFonts w:ascii="Times New Roman" w:hAnsi="Times New Roman" w:cs="Times New Roman"/>
                <w:sz w:val="24"/>
                <w:szCs w:val="24"/>
              </w:rPr>
              <w:t>, ето защо условието следва да е универсално и да е приложимо за всеки кандидат и за всяка комбинация от дейности и разходи. В голяма част от случаите продукцията се произвежда „в полето“, но стопанството на кандидата – офис, склад - е разположено в строителните граници на населено място, което може да е различно от населеното място, в землището на което се намират обработваемите площи.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„населено място“ не следва да се идентифицира само със строителните му граници, а да се вземат предвид и землищните граници.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1C1239" w:rsidRDefault="001C1239" w:rsidP="00813D0C">
            <w:pPr>
              <w:spacing w:line="276" w:lineRule="auto"/>
              <w:jc w:val="both"/>
              <w:rPr>
                <w:rFonts w:ascii="Times New Roman" w:hAnsi="Times New Roman" w:cs="Times New Roman"/>
                <w:sz w:val="24"/>
                <w:szCs w:val="24"/>
              </w:rPr>
            </w:pPr>
          </w:p>
          <w:p w:rsidR="001C1239" w:rsidRDefault="001C1239" w:rsidP="00813D0C">
            <w:pPr>
              <w:spacing w:line="276" w:lineRule="auto"/>
              <w:jc w:val="both"/>
              <w:rPr>
                <w:rFonts w:ascii="Times New Roman" w:hAnsi="Times New Roman" w:cs="Times New Roman"/>
                <w:sz w:val="24"/>
                <w:szCs w:val="24"/>
              </w:rPr>
            </w:pPr>
          </w:p>
          <w:p w:rsidR="001C1239" w:rsidRDefault="001C1239" w:rsidP="00813D0C">
            <w:pPr>
              <w:spacing w:line="276" w:lineRule="auto"/>
              <w:jc w:val="both"/>
              <w:rPr>
                <w:rFonts w:ascii="Times New Roman" w:hAnsi="Times New Roman" w:cs="Times New Roman"/>
                <w:sz w:val="24"/>
                <w:szCs w:val="24"/>
              </w:rPr>
            </w:pPr>
          </w:p>
          <w:p w:rsidR="001C1239" w:rsidRPr="00770D6A" w:rsidRDefault="001C1239"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 xml:space="preserve">18.2. и 18.3. Не се приема. </w:t>
            </w:r>
            <w:r w:rsidRPr="00770D6A">
              <w:rPr>
                <w:rFonts w:ascii="Times New Roman" w:hAnsi="Times New Roman" w:cs="Times New Roman"/>
                <w:sz w:val="24"/>
                <w:szCs w:val="24"/>
              </w:rPr>
              <w:t xml:space="preserve">Съгласно т. 15 от раздел 11.2 от УК </w:t>
            </w:r>
            <w:r w:rsidRPr="00770D6A">
              <w:rPr>
                <w:rFonts w:ascii="Times New Roman" w:hAnsi="Times New Roman" w:cs="Times New Roman"/>
                <w:i/>
                <w:sz w:val="24"/>
                <w:szCs w:val="24"/>
              </w:rPr>
              <w:t>„Съответствието с критериите за подбор на заявленията за подпомагане се преценява към датата на подаване на заявлението за подпомагане съобразно приложените към него документи и декларирани данни“</w:t>
            </w:r>
            <w:r w:rsidRPr="00770D6A">
              <w:rPr>
                <w:rFonts w:ascii="Times New Roman" w:hAnsi="Times New Roman" w:cs="Times New Roman"/>
                <w:sz w:val="24"/>
                <w:szCs w:val="24"/>
              </w:rPr>
              <w:t xml:space="preserve">. УО не намира основание да прави изрично уточнение за всеки критерий по отделно.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18.4.</w:t>
            </w:r>
            <w:r w:rsidRPr="00770D6A">
              <w:rPr>
                <w:rFonts w:ascii="Times New Roman" w:hAnsi="Times New Roman" w:cs="Times New Roman"/>
                <w:sz w:val="24"/>
                <w:szCs w:val="24"/>
              </w:rPr>
              <w:t xml:space="preserve"> </w:t>
            </w:r>
            <w:r w:rsidRPr="00770D6A">
              <w:rPr>
                <w:rFonts w:ascii="Times New Roman" w:hAnsi="Times New Roman" w:cs="Times New Roman"/>
                <w:b/>
                <w:sz w:val="24"/>
                <w:szCs w:val="24"/>
              </w:rPr>
              <w:t>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19.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Необходимо е да има достатъчна увереност, че кандидатстването е съгласувано с компетентния орган на дружеството-кандидат.</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20.1. Приема се.</w:t>
            </w: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40003" w:rsidRDefault="00840003"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20.2. Приема се по принцип.</w:t>
            </w:r>
          </w:p>
          <w:p w:rsidR="00813D0C" w:rsidRPr="00770D6A" w:rsidRDefault="000A3860" w:rsidP="00813D0C">
            <w:pPr>
              <w:spacing w:line="276" w:lineRule="auto"/>
              <w:jc w:val="both"/>
              <w:rPr>
                <w:rFonts w:ascii="Times New Roman" w:hAnsi="Times New Roman" w:cs="Times New Roman"/>
                <w:sz w:val="24"/>
                <w:szCs w:val="24"/>
              </w:rPr>
            </w:pPr>
            <w:r w:rsidRPr="000A3860">
              <w:rPr>
                <w:rFonts w:ascii="Times New Roman" w:hAnsi="Times New Roman" w:cs="Times New Roman"/>
                <w:sz w:val="24"/>
                <w:szCs w:val="24"/>
              </w:rPr>
              <w:t>С писмо с рег. № 04-00-2884-3 от 24.11.2025 г. МОСВ изразява принципно становище, че „предложения на кандидати за подпомагане по СПРЗСР 2023-2027 г., свързани само и единствено  със закупуване на техника или инвентар, софтуер, специализирани транспортни средства и материални и нематериални инвестиции за прилагане на технологиите на прецизно/интелигентно/цифрово земеделие, няма основание да се провеждат процедури по реда на глава шеста от ЗООС. Същите не попадат и под разпоредбите на чл. 31, ал. 1 от ЗБР и за тях не е необходимо провеждане на съгласувателни процедури по реда на Наредбата по чл. 31а от ЗБР“. Писмото ще бъде публикувано на общодостъпно за всички потенциални кандидати място с цел улесняване и намаляване на административната тежест.</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21.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Целта на прилагането на този критерий е стимулиране на земеделските стопани за включване в схемите за качество.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840003" w:rsidRPr="00840003" w:rsidRDefault="00813D0C" w:rsidP="00840003">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 xml:space="preserve">22. </w:t>
            </w:r>
            <w:r w:rsidR="00840003">
              <w:rPr>
                <w:rFonts w:ascii="Times New Roman" w:hAnsi="Times New Roman" w:cs="Times New Roman"/>
                <w:b/>
                <w:sz w:val="24"/>
                <w:szCs w:val="24"/>
              </w:rPr>
              <w:t>Приема се.</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00813D0C" w:rsidRPr="00770D6A">
              <w:rPr>
                <w:rFonts w:ascii="Times New Roman" w:hAnsi="Times New Roman" w:cs="Times New Roman"/>
                <w:sz w:val="24"/>
                <w:szCs w:val="24"/>
              </w:rPr>
              <w:t>.</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Държавен фонд „Земеделие“</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17:25</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Здравейте,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публикуваните за обществено обсъждане на 16.10.2025 г. условия за кандидатстване и условия за изпълнение по интервенция II.Г.1.1 - Инвестиции в земеделските стопанства насочени към опазване на компонентите на околната среда, Прием № II/Г/1/1/1 от Стратегическия план за развитие на земеделието в селските райони за периода 2023-2027 г., ДФ „Земеделие“ отправя следните бележки и допълнения:</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Всички коментари на ДФ "Земеделие" по интервенция II.Г.1 (когато са приложими), следва да бъдат взети под внимание и по интервенция II.Г.1.1.</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Предвид изискването на т. 21 от Раздел 9.1 от УК, в раздел 12.1.</w:t>
            </w:r>
            <w:r w:rsidR="00F83E78">
              <w:rPr>
                <w:rFonts w:ascii="Times New Roman" w:hAnsi="Times New Roman" w:cs="Times New Roman"/>
                <w:sz w:val="24"/>
                <w:szCs w:val="24"/>
              </w:rPr>
              <w:t xml:space="preserve"> </w:t>
            </w:r>
            <w:r w:rsidRPr="00770D6A">
              <w:rPr>
                <w:rFonts w:ascii="Times New Roman" w:hAnsi="Times New Roman" w:cs="Times New Roman"/>
                <w:i/>
                <w:iCs/>
                <w:sz w:val="24"/>
                <w:szCs w:val="24"/>
              </w:rPr>
              <w:t>Общи документи</w:t>
            </w:r>
            <w:r w:rsidR="00F83E78">
              <w:rPr>
                <w:rFonts w:ascii="Times New Roman" w:hAnsi="Times New Roman" w:cs="Times New Roman"/>
                <w:sz w:val="24"/>
                <w:szCs w:val="24"/>
              </w:rPr>
              <w:t xml:space="preserve"> </w:t>
            </w:r>
            <w:r w:rsidRPr="00770D6A">
              <w:rPr>
                <w:rFonts w:ascii="Times New Roman" w:hAnsi="Times New Roman" w:cs="Times New Roman"/>
                <w:sz w:val="24"/>
                <w:szCs w:val="24"/>
              </w:rPr>
              <w:t>следва да бъде добавен документът „Договор с развъдна асоциация за отглеждане и развъждане на животни от местни (автохтонни) породи“.</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т. 1.1.5 от Раздел 10 като допустим разход е посочено “изграждане на сгради”. С цел по-голяма яснота е необходимо да се посочи, че тези сгради са различни от посочените по т. 1.1.2 от същия раздел животновъдни обекти.</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т. 2 от Раздел 10.1, “ПИИ” да се замени със “заявлението за подпомагане”.</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Раздел 11.2 "Методика за прилагане на критериите за подбор": Текстът в т. 12.1. “Това условие не се отнася за критерий 3.1 за кандидати - земеделски стопани, тъй като оценката се основава на данни от минали периоди, критерий 4.1., при спазване на изискванията по т. 5.2.2 от Раздел А от Условията за изпълнение и за критерий 4.5.” </w:t>
            </w:r>
            <w:r w:rsidRPr="00770D6A">
              <w:rPr>
                <w:rFonts w:ascii="Times New Roman" w:hAnsi="Times New Roman" w:cs="Times New Roman"/>
                <w:i/>
                <w:iCs/>
                <w:sz w:val="24"/>
                <w:szCs w:val="24"/>
              </w:rPr>
              <w:t>да придобие следната редакция:</w:t>
            </w:r>
            <w:r w:rsidRPr="00770D6A">
              <w:rPr>
                <w:rFonts w:ascii="Times New Roman" w:hAnsi="Times New Roman" w:cs="Times New Roman"/>
                <w:sz w:val="24"/>
                <w:szCs w:val="24"/>
              </w:rPr>
              <w:t> “Това условие не се отнася за критерий 3.1 за кандидати - земеделски стопани, тъй като оценката се основава на данни от минали периоди, критерий 4.1., при спазване на изискванията по т. 5.2.3 от Раздел А от Условията за изпълнение и за критерий 4.5.”</w:t>
            </w:r>
          </w:p>
          <w:p w:rsidR="00813D0C" w:rsidRPr="00770D6A" w:rsidRDefault="00813D0C" w:rsidP="00813D0C">
            <w:pPr>
              <w:numPr>
                <w:ilvl w:val="0"/>
                <w:numId w:val="67"/>
              </w:numPr>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Раздел А. Техническо изпълнение на заявленията за подпомагане от Условията за изпълнение: Текстът в т. 2.1. „Бенефициентът се задължава да започне реалното изпълнение на одобрения проект в срок не по-дълъг от девет месеца от сключване на административния договор, за което да уведоми Фонда, като представи надлежни доказателства за това в същия срок. Когато до изтичането на срока по изр. първо Бенефициентът представи на Фонда надлежни документи, пряко свързани с изпълнението, от които е видно, че е извършил или извършва реални действия и започването на изпълнението е предстоящо. Този срок може да бъде удължен по преценка на Фонда, но с не повече от три месеца.“ </w:t>
            </w:r>
            <w:r w:rsidRPr="00770D6A">
              <w:rPr>
                <w:rFonts w:ascii="Times New Roman" w:hAnsi="Times New Roman" w:cs="Times New Roman"/>
                <w:b/>
                <w:bCs/>
                <w:i/>
                <w:iCs/>
                <w:sz w:val="24"/>
                <w:szCs w:val="24"/>
              </w:rPr>
              <w:t>да отпадне поради следните причини:</w:t>
            </w:r>
            <w:r w:rsidRPr="00770D6A">
              <w:rPr>
                <w:rFonts w:ascii="Times New Roman" w:hAnsi="Times New Roman" w:cs="Times New Roman"/>
                <w:sz w:val="24"/>
                <w:szCs w:val="24"/>
              </w:rPr>
              <w:t> Подобно изискване не е заложено в Стратегическия план и в европейското законодателство за прилагането му, включително в нито един от приложимите регламенти. Посоченото условие липсва и като задължение по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следователно законодателят е преценил, че то е ирелевантно за интервенциите по СПРЗСР. В тази връзка, следва да се отбележи, че към никоя друга интервенция не е предвидено задължение за бенефициента да започне реалното изпълнение на одобреното заявление за подпомагане в определен срок след сключване на административния договор. Посоченото води до необоснован, нееднотипен подход, спрямо бенефициентите по плана. Посоченото задължение за започване на изпълнението в определен срок беше заложено по всички мерки от ПРСР 2014-2020 г., но въпреки неговото спазване, част от бенефициентите отново не успяваха да приключат успешно проектите си и да подадат искания за окончателно плащане. Във връзка с гореизложеното, беше извършен обстоен анализ от страна на Държавен Фонд “Земеделие” по отношение на прилагането и контрола на това изискване, като беше установено, че спазването му не носи полза за проследяване реализацията на проектите. Посоченото се потвърждавана от данните от анализ, които сочат, че над 65% от проектите по мярка 4 от ПРСР 2014-2020 г., които са прекратени поради неподадени искания за плащане са били стартирали надлежно. Създават се допълнителни затруднения в случаите, когато се забавят доставките или осъществяването на дейностите по вина на доставчиците или се налага промяна на част от одобрената инвестиция, установена в процеса на изпълнението й. Основните затруднения при спазването на задължението са при забавяне осигуряването на кредитиране, което става причина и за предсрочното погасяване на възможностите за изпълнение на вече обработените и одобрени проекти. Подготовката на документите за удостоверяване изпълнението на изискването и тяхната обработка, допринася за създаване на ненужна тежест, както за бенефициентите, така и за администрацията.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публикуваните за обществено обсъждане на 16.10.2025 г. условия за кандидатстване  и условия за изпълнение по интервенция II.Г.1 - Инвестиции в земеделските стопанства, Прием № II/Г/1/0/1 от Стратегическия план за развитие на земеделието в селските райони за периода 2023-2027 г., ДФ „Земеделие“ отправя следните бележки и допълнения:</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определението за “Напоявани площи” да се съобрази с определението, посочено в § 1, т.10 от ЗАКОН ЗА ОПАЗВАНЕ НА ЗЕМЕДЕЛСКИТЕ ЗЕМИ: "Поливна" е земеделската земя, която е разположена на територия, обслужвана от напоителна система или напоително поле, или може да се напоява от естествен водоизточник, позволяващ гравитачно подаване на вода в имота." и да се добави извършването на служебна справка в Регистър на поливните площи на страницата на Напоителни системи ЕАД.</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в Раздел 5. Бюджет по приема, в т. 2 да бъде добавено следното пояснение: </w:t>
            </w:r>
            <w:r w:rsidRPr="00770D6A">
              <w:rPr>
                <w:rFonts w:ascii="Times New Roman" w:hAnsi="Times New Roman" w:cs="Times New Roman"/>
                <w:i/>
                <w:iCs/>
                <w:sz w:val="24"/>
                <w:szCs w:val="24"/>
              </w:rPr>
              <w:t>Обстоятелството подлежи на проверка от страна на ДФ “Земеделие”</w:t>
            </w:r>
            <w:r w:rsidRPr="00770D6A">
              <w:rPr>
                <w:rFonts w:ascii="Times New Roman" w:hAnsi="Times New Roman" w:cs="Times New Roman"/>
                <w:sz w:val="24"/>
                <w:szCs w:val="24"/>
              </w:rPr>
              <w:t>. Възможно е при попълването на данните в СЕУ кандидатът да допусне грешка при определянето към кой от бюджетите попада. Когато това се установи при извършване на административните проверки е необходимо заявлението за подпомагане да бъде отнесено (класирано) в съответния подбюджет. В тази връзка, предлагаме думата “подадени” в т. 6.2 от Раздел 7 да бъде заменена с думата “попадат”.</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към изискването по т. 3 от раздел 8.1. Критерии за допустимост на кандидатите, отнасящо се за групи и организации на производители, да бъде добавен и документ за доказване на посоченото в декларацията, предвид липсата на механизъм за проверка от страна на ДФЗ.</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Текстът по т. 7 от Раздел 8.2 следва да се прецизира като отпадне думата “подпомагане”.</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текстът по т. 13, буква „а“, изречение последно от раздел 9.1. Условия за допустимост на дейностите/инвестициите, в т.ч. срок за изпълнение на одобрените заявления за подпомагане да гласи: “При необходимост ДФЗ може да .....”.</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2.5 от Раздел 9 да отпадне текстът “включително свързани с подобряване на енергийната ефективност” или да се предвиди документ във връзка с допустимостта на този разход. При спазване на чл. 43. от Закона за енергийната ефективност (ЗЕЕ), съгласно Чл. 59. (1) от ЗЕЕ “Обследването на промишлени системи и системи за външно изкуствено осветление по чл. 57, ал. 1 и изготвянето на оценки за енергийни спестявания се извършва от лица, вписани в регистъра по чл. 60, ал. 1.”  Във връзка с издаване на оценка за енергийна ефективност, съгласно чл. 8 от Наредба № Е-РД-04-05 от 8.09.2016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се изследват показателите за разход на енергия на предприятията и промишлените системи, които могат да дадат информация за общия разход на енергия на дадено предприятие.</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6 от Раздел 9.1 текстът  “за създаване на трайни насаждения” да претърпи следната редакция “за създаване и/или пресъздаване на трайни насаждения”.</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9.1 от Раздел 9.1 да се уточни, че оценка от ДФЗ по изготвена методика съгласно Приложение № 7 се извършва на “самоходна земеделска техника”.</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да бъде добавена нова подточка в) към т. 10.2 от Раздел 9.1: “</w:t>
            </w:r>
            <w:r w:rsidRPr="00770D6A">
              <w:rPr>
                <w:rFonts w:ascii="Times New Roman" w:hAnsi="Times New Roman" w:cs="Times New Roman"/>
                <w:i/>
                <w:iCs/>
                <w:sz w:val="24"/>
                <w:szCs w:val="24"/>
              </w:rPr>
              <w:t>в) за действащи животновъдни обекти, броят на отглежданите животни, посочен в бизнес плана за всяка от прогнозните години не може да надхвърля капацитета на животновъдния обект</w:t>
            </w:r>
            <w:r w:rsidRPr="00770D6A">
              <w:rPr>
                <w:rFonts w:ascii="Times New Roman" w:hAnsi="Times New Roman" w:cs="Times New Roman"/>
                <w:sz w:val="24"/>
                <w:szCs w:val="24"/>
              </w:rPr>
              <w:t xml:space="preserve">”. </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Текстът по т. 14.3 от Раздел 9.1 следва да се прецизира по следния начин: “</w:t>
            </w:r>
            <w:r w:rsidRPr="00770D6A">
              <w:rPr>
                <w:rFonts w:ascii="Times New Roman" w:hAnsi="Times New Roman" w:cs="Times New Roman"/>
                <w:i/>
                <w:iCs/>
                <w:sz w:val="24"/>
                <w:szCs w:val="24"/>
              </w:rPr>
              <w:t>заявления за подпомагане с инвестиции за производство на течни, газообразни и твърди горива от биомаса ....</w:t>
            </w:r>
            <w:r w:rsidRPr="00770D6A">
              <w:rPr>
                <w:rFonts w:ascii="Times New Roman" w:hAnsi="Times New Roman" w:cs="Times New Roman"/>
                <w:sz w:val="24"/>
                <w:szCs w:val="24"/>
              </w:rPr>
              <w:t>“.</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от текста по т. 14.4 от Раздел 9.1 да отпадне израза “</w:t>
            </w:r>
            <w:r w:rsidRPr="00770D6A">
              <w:rPr>
                <w:rFonts w:ascii="Times New Roman" w:hAnsi="Times New Roman" w:cs="Times New Roman"/>
                <w:i/>
                <w:iCs/>
                <w:sz w:val="24"/>
                <w:szCs w:val="24"/>
              </w:rPr>
              <w:t>като самостоятелна инвестиция</w:t>
            </w:r>
            <w:r w:rsidRPr="00770D6A">
              <w:rPr>
                <w:rFonts w:ascii="Times New Roman" w:hAnsi="Times New Roman" w:cs="Times New Roman"/>
                <w:sz w:val="24"/>
                <w:szCs w:val="24"/>
              </w:rPr>
              <w:t>”, предвид че противоречи на посоченото в т. 3 от Раздел 9.2.</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16.3 раздел 9.1 да се добави извършването на справка в “Регистър поливни площи” на НС ЕАД, предвид определението, посочено в § 1, т.10 от ЗАКОН ЗА ОПАЗВАНЕ НА ЗЕМЕДЕЛСКИТЕ ЗЕМИ.</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в т. 18.1 раздел 9.1 да отпадне следния текст: </w:t>
            </w:r>
            <w:r w:rsidRPr="00770D6A">
              <w:rPr>
                <w:rFonts w:ascii="Times New Roman" w:hAnsi="Times New Roman" w:cs="Times New Roman"/>
                <w:i/>
                <w:iCs/>
                <w:sz w:val="24"/>
                <w:szCs w:val="24"/>
              </w:rPr>
              <w:t xml:space="preserve">“поради съображения, свързани с количеството на водите”. </w:t>
            </w:r>
            <w:r w:rsidRPr="00770D6A">
              <w:rPr>
                <w:rFonts w:ascii="Times New Roman" w:hAnsi="Times New Roman" w:cs="Times New Roman"/>
                <w:sz w:val="24"/>
                <w:szCs w:val="24"/>
              </w:rPr>
              <w:t>Предвид, че се обследват и повърхностни и подземни водни тела, това ще доведе до объркване ако например екологичното/химично състояние на повърхностно водно тяло е по-ниско от добро.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края на изречението на т. 21 раздел 9.1 да се добави текста "</w:t>
            </w:r>
            <w:r w:rsidRPr="00770D6A">
              <w:rPr>
                <w:rFonts w:ascii="Times New Roman" w:hAnsi="Times New Roman" w:cs="Times New Roman"/>
                <w:i/>
                <w:iCs/>
                <w:sz w:val="24"/>
                <w:szCs w:val="24"/>
              </w:rPr>
              <w:t>е необходимо</w:t>
            </w:r>
            <w:r w:rsidRPr="00770D6A">
              <w:rPr>
                <w:rFonts w:ascii="Times New Roman" w:hAnsi="Times New Roman" w:cs="Times New Roman"/>
                <w:sz w:val="24"/>
                <w:szCs w:val="24"/>
              </w:rPr>
              <w:t>".</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18.2 от Раздел 9.1 текстът “(документът по т. 5 от Раздел 12.1)” да се редактира по следния начин  “(документът по т. 8 от Раздел 12.1)”.</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 от Раздел 9.2 да отпадне следният текст “за дейностите и разходите, които се подпомагат по настоящия прием и са за същия обект/и”, тъй като е идентичен с началото на изречението.</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 2.4 от Раздел 9.2 да отпадне или да бъде прецизирана. Без да се конкретизират  кои са  “съществуващите стандарти на ЕС” е невъзможно да се извърши проверката за наличието на недопустими дейности и разходи. Например.: ако се визира, че БФП не се предоставя за инвестиционни разходи, свързани с изграждане на нови, ремонт, реконструкция и/или разширяване на съществуващи съоръжения за съхранение на оборски тор в регистрирани и действащи животновъдни обекти, то това следва да бъде изрично посочено.</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1.2.1 от Раздел 10  да се уточни, че закупуването на софтуер следва да е пряко свързан с работата на активите по т. 1.1., включени в заявлението за подпомагане.</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Текстът по т. 6 от Раздел 10.1 следва да се прецизира по следния начин: “Разходите по т. 1.2 от </w:t>
            </w:r>
            <w:r w:rsidRPr="00770D6A">
              <w:rPr>
                <w:rFonts w:ascii="Times New Roman" w:hAnsi="Times New Roman" w:cs="Times New Roman"/>
                <w:b/>
                <w:bCs/>
                <w:sz w:val="24"/>
                <w:szCs w:val="24"/>
              </w:rPr>
              <w:t>Раздел 10</w:t>
            </w:r>
            <w:r w:rsidRPr="00770D6A">
              <w:rPr>
                <w:rFonts w:ascii="Times New Roman" w:hAnsi="Times New Roman" w:cs="Times New Roman"/>
                <w:sz w:val="24"/>
                <w:szCs w:val="24"/>
              </w:rPr>
              <w:t xml:space="preserve"> не могат да надхвърлят 10 на сто от допустимите разходи по т. 1.1. от Раздел 10, но не повече от 50 000 лева”.</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в текста по т. 8.1, буква “а” от Раздел 10.1 да се добавят още: “... </w:t>
            </w:r>
            <w:r w:rsidRPr="00770D6A">
              <w:rPr>
                <w:rFonts w:ascii="Times New Roman" w:hAnsi="Times New Roman" w:cs="Times New Roman"/>
                <w:b/>
                <w:bCs/>
                <w:sz w:val="24"/>
                <w:szCs w:val="24"/>
              </w:rPr>
              <w:t>допълнително оборудване, навигационни системи, GPS устройства, контролери, датчици и уреди за контрол, дронове, метеорологични станции и др. със сходно предназначение</w:t>
            </w:r>
            <w:r w:rsidRPr="00770D6A">
              <w:rPr>
                <w:rFonts w:ascii="Times New Roman" w:hAnsi="Times New Roman" w:cs="Times New Roman"/>
                <w:sz w:val="24"/>
                <w:szCs w:val="24"/>
              </w:rPr>
              <w:t>”. Освен това, в цитираната точка следва да се посочи или “софтуер”, или “нематериални инвестиции”, предвид че само закупуването на софтуер е допустимо, съгласно т. 1.2.1 от Раздел 10.</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12 от Раздел 10.1 да се уточни, че изискването за описване на цените в офертите “в лева и евро” е приложимо за издадените до 1.1.2026 год., предвид разпоредбите на Закон за въвеждане на еврото в Република България.</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текста в т. 9 от Раздел 10.2 да се прецизира така: “Разходи за закупуване, включително чрез финансов лизинг, на нови машини и оборудване, включително компютърен софтуер, </w:t>
            </w:r>
            <w:r w:rsidRPr="00770D6A">
              <w:rPr>
                <w:rFonts w:ascii="Times New Roman" w:hAnsi="Times New Roman" w:cs="Times New Roman"/>
                <w:b/>
                <w:bCs/>
                <w:sz w:val="24"/>
                <w:szCs w:val="24"/>
              </w:rPr>
              <w:t xml:space="preserve">или за услуги </w:t>
            </w:r>
            <w:r w:rsidRPr="00770D6A">
              <w:rPr>
                <w:rFonts w:ascii="Times New Roman" w:hAnsi="Times New Roman" w:cs="Times New Roman"/>
                <w:sz w:val="24"/>
                <w:szCs w:val="24"/>
              </w:rPr>
              <w:t>за частта над пазарната им стойност”.</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 19 от Раздел 10.2 да се редактира по следния начин “Разходи за мобилни/преместваеми инсталации за производство и съхранение на енергия от ВЕИ” предвид, че е допуснато подпомагане на инвестиции за съхранение на енергия от възобновяеми енергийни източници (ВЕИ).</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21 от Раздел 10.2 да се добави „</w:t>
            </w:r>
            <w:r w:rsidRPr="00770D6A">
              <w:rPr>
                <w:rFonts w:ascii="Times New Roman" w:hAnsi="Times New Roman" w:cs="Times New Roman"/>
                <w:i/>
                <w:iCs/>
                <w:sz w:val="24"/>
                <w:szCs w:val="24"/>
              </w:rPr>
              <w:t>и/или за нуждите на животновъдния обект, за който се кандидатства за подпомагане</w:t>
            </w:r>
            <w:r w:rsidRPr="00770D6A">
              <w:rPr>
                <w:rFonts w:ascii="Times New Roman" w:hAnsi="Times New Roman" w:cs="Times New Roman"/>
                <w:sz w:val="24"/>
                <w:szCs w:val="24"/>
              </w:rPr>
              <w:t xml:space="preserve">“.          </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към критерий за оценка № 1.1 за условието “най-малко 50 % от селскостопанските култури/животни съгласно представения бизнес план, са сертифицирани като биологични, а останалите са в преход” да се уточни начинът на прилагането му. За по-голяма яснота предлагаме да се допълни, че за културите ще се извършва оценка/изчисление на процентния показател в “дка/кв.м” и за животните - в “бр./кв.м”. С оглед коректното прилагане на критерия, при заявления за подпомагане в сектор “растениевъдство” и в сектор “животновъдство” предлагаме да се допълни, че минималното изискване за получаване на предимство по критерия ще бъде обследвано поотделно, както за културите, така и за животните.</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текстът “</w:t>
            </w:r>
            <w:r w:rsidRPr="00770D6A">
              <w:rPr>
                <w:rFonts w:ascii="Times New Roman" w:hAnsi="Times New Roman" w:cs="Times New Roman"/>
                <w:i/>
                <w:iCs/>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 </w:t>
            </w:r>
            <w:r w:rsidRPr="00770D6A">
              <w:rPr>
                <w:rFonts w:ascii="Times New Roman" w:hAnsi="Times New Roman" w:cs="Times New Roman"/>
                <w:sz w:val="24"/>
                <w:szCs w:val="24"/>
              </w:rPr>
              <w:t>да отпадне към документите, към които е допълнено като уточнение. Считаме, че посоченото условие противоречи на разпоредбите на Наредба № 4/2024 год., в която не е посочено кой/кои документ/и е/са задължителен/лни при подаване на заявление за подпомагане.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5A6C4A" w:rsidRPr="00770D6A" w:rsidRDefault="005A6C4A"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7 от Раздел 12.1 от текстът  “придружени от копия..” да отпадне “копия”, предвид електронното кандидатстване в СЕУ и “проектното предложение” да се редактира на “заявлението за подпомагане”.</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текстът в т. 14 от Раздел 12.1 да се измени така: “... или становище с подробно описание на инвестиционното намерение от компетентното лице съгласно чл. 148, ал. 2 или ал. 3 от ЗУТ, че строежът не се нуждае от издаване на разрешение за строеж</w:t>
            </w:r>
            <w:r w:rsidRPr="00770D6A">
              <w:rPr>
                <w:rFonts w:ascii="Times New Roman" w:hAnsi="Times New Roman" w:cs="Times New Roman"/>
                <w:b/>
                <w:bCs/>
                <w:sz w:val="24"/>
                <w:szCs w:val="24"/>
              </w:rPr>
              <w:t>/поставяне</w:t>
            </w:r>
            <w:r w:rsidRPr="00770D6A">
              <w:rPr>
                <w:rFonts w:ascii="Times New Roman" w:hAnsi="Times New Roman" w:cs="Times New Roman"/>
                <w:sz w:val="24"/>
                <w:szCs w:val="24"/>
              </w:rPr>
              <w:t>”. Промяната е необходима във връзка с текста в т. 13, буква “б” от Раздел 9.1.</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от т. 16 от Раздел 12.1 да отпадне текстът: “... </w:t>
            </w:r>
            <w:r w:rsidRPr="00770D6A">
              <w:rPr>
                <w:rFonts w:ascii="Times New Roman" w:hAnsi="Times New Roman" w:cs="Times New Roman"/>
                <w:b/>
                <w:bCs/>
                <w:sz w:val="24"/>
                <w:szCs w:val="24"/>
              </w:rPr>
              <w:t>и срок за изпълнение</w:t>
            </w:r>
            <w:r w:rsidRPr="00770D6A">
              <w:rPr>
                <w:rFonts w:ascii="Times New Roman" w:hAnsi="Times New Roman" w:cs="Times New Roman"/>
                <w:sz w:val="24"/>
                <w:szCs w:val="24"/>
              </w:rPr>
              <w:t>” - излишно е, предвид факта, че условията конкретизират срока за изпълнение на инвестицията.</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от т. 21 от Раздел 12.1 да отпадне “или” в уточнението: “</w:t>
            </w:r>
            <w:r w:rsidRPr="00770D6A">
              <w:rPr>
                <w:rFonts w:ascii="Times New Roman" w:hAnsi="Times New Roman" w:cs="Times New Roman"/>
                <w:i/>
                <w:iCs/>
                <w:sz w:val="24"/>
                <w:szCs w:val="24"/>
              </w:rPr>
              <w:t xml:space="preserve">Представя се в случаите по 15.2 </w:t>
            </w:r>
            <w:r w:rsidRPr="00770D6A">
              <w:rPr>
                <w:rFonts w:ascii="Times New Roman" w:hAnsi="Times New Roman" w:cs="Times New Roman"/>
                <w:b/>
                <w:bCs/>
                <w:i/>
                <w:iCs/>
                <w:sz w:val="24"/>
                <w:szCs w:val="24"/>
              </w:rPr>
              <w:t>и</w:t>
            </w:r>
            <w:r w:rsidRPr="00770D6A">
              <w:rPr>
                <w:rFonts w:ascii="Times New Roman" w:hAnsi="Times New Roman" w:cs="Times New Roman"/>
                <w:i/>
                <w:iCs/>
                <w:sz w:val="24"/>
                <w:szCs w:val="24"/>
              </w:rPr>
              <w:t xml:space="preserve"> 16.3.1. от Раздел 9.1, когато</w:t>
            </w:r>
            <w:r w:rsidRPr="00770D6A">
              <w:rPr>
                <w:rFonts w:ascii="Times New Roman" w:hAnsi="Times New Roman" w:cs="Times New Roman"/>
                <w:sz w:val="24"/>
                <w:szCs w:val="24"/>
              </w:rPr>
              <w:t xml:space="preserve"> </w:t>
            </w:r>
            <w:r w:rsidRPr="00770D6A">
              <w:rPr>
                <w:rFonts w:ascii="Times New Roman" w:hAnsi="Times New Roman" w:cs="Times New Roman"/>
                <w:i/>
                <w:iCs/>
                <w:sz w:val="24"/>
                <w:szCs w:val="24"/>
              </w:rPr>
              <w:t xml:space="preserve">в заявлението за подпомагане са включени инвестиции в напояване и кандидатът е титуляр на разрешително за водовземане”, </w:t>
            </w:r>
            <w:r w:rsidRPr="00770D6A">
              <w:rPr>
                <w:rFonts w:ascii="Times New Roman" w:hAnsi="Times New Roman" w:cs="Times New Roman"/>
                <w:sz w:val="24"/>
                <w:szCs w:val="24"/>
              </w:rPr>
              <w:t>тъй като документът следва да доказва и съществуващо напояване и осигурен достъп до вода.</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да отпаднат уточненията към т. 22 и т. 23 от Раздел 12.1, предвид факта, че  никъде в условията не се разграничават начините на захранване с вода, а второто уточнение се отнася за всички документи съгласно Наредба № 4/2024г.</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22.1 от Раздел 12.1 да се коригира препратката: “...</w:t>
            </w:r>
            <w:r w:rsidRPr="00770D6A">
              <w:rPr>
                <w:rFonts w:ascii="Times New Roman" w:hAnsi="Times New Roman" w:cs="Times New Roman"/>
                <w:i/>
                <w:iCs/>
                <w:sz w:val="24"/>
                <w:szCs w:val="24"/>
              </w:rPr>
              <w:t xml:space="preserve">в случаите по 15.2 от Раздел </w:t>
            </w:r>
            <w:r w:rsidRPr="00770D6A">
              <w:rPr>
                <w:rFonts w:ascii="Times New Roman" w:hAnsi="Times New Roman" w:cs="Times New Roman"/>
                <w:b/>
                <w:bCs/>
                <w:i/>
                <w:iCs/>
                <w:sz w:val="24"/>
                <w:szCs w:val="24"/>
              </w:rPr>
              <w:t>9.1”</w:t>
            </w:r>
            <w:r w:rsidRPr="00770D6A">
              <w:rPr>
                <w:rFonts w:ascii="Times New Roman" w:hAnsi="Times New Roman" w:cs="Times New Roman"/>
                <w:b/>
                <w:bCs/>
                <w:sz w:val="24"/>
                <w:szCs w:val="24"/>
              </w:rPr>
              <w:t>.</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в т. 24 от Раздел 12.1 да се добави и документа по т. 21, предвид, че са посочени и такси към Басейнова дирекция: </w:t>
            </w:r>
            <w:r w:rsidRPr="00770D6A">
              <w:rPr>
                <w:rFonts w:ascii="Times New Roman" w:hAnsi="Times New Roman" w:cs="Times New Roman"/>
                <w:i/>
                <w:iCs/>
                <w:sz w:val="24"/>
                <w:szCs w:val="24"/>
              </w:rPr>
              <w:t xml:space="preserve">“Документи (фактури, платежни нареждания, банкови извлечения и др.) за плащане за ползвана вода за напояване - платени държавни такси към съответната Басейнова дирекция или по договор за ползване на услуга „доставка на вода за напояване“ с клон на „Напоителни системи“ ЕАД или сдружение за напояване за съответните години (2023, 2024, 2025 г.), за които е представен документ по т. 23 </w:t>
            </w:r>
            <w:r w:rsidRPr="00770D6A">
              <w:rPr>
                <w:rFonts w:ascii="Times New Roman" w:hAnsi="Times New Roman" w:cs="Times New Roman"/>
                <w:b/>
                <w:bCs/>
                <w:i/>
                <w:iCs/>
                <w:sz w:val="24"/>
                <w:szCs w:val="24"/>
              </w:rPr>
              <w:t>и т. 21”.</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да отпадне документът по т. 26 от Раздел 12.1 или да се уточни във връзка с доказване на кое условие за допустимост е предвидено представянето му.</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в т. 1.1 от Раздел 12.3 да отпадне изискването за проверка на задължения във връзка с изискването на чл. 162, ал. 2, т. 8 от ДОПК, тъй като не е част от изискванията на чл. 54 от ЗОП.</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Предлагаме т. 6 от Раздел 13 да отпадне, тъй като в Наредба 4/2024 год. не са включени разпоредби, които предвиждат посочените условия, а именно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Раздел 12.1. „Общи документи“.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Предлагаме в т. 7 от Раздел 13 последното изречение да отпадне, тъй като същото е предвидено в т. 9. </w:t>
            </w:r>
          </w:p>
          <w:p w:rsidR="00813D0C" w:rsidRPr="00770D6A" w:rsidRDefault="00813D0C" w:rsidP="00813D0C">
            <w:pPr>
              <w:numPr>
                <w:ilvl w:val="0"/>
                <w:numId w:val="4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По отношение на Приложение № 3 - Бизнес план предлагаме:</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от Таблица 3. Производствена програма да отпаднат колоните „за износ“ и “за собствено потребление”. Това ще доведе до опростяване на бланката за попълване.</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лист Обща информация, от секция А. Oписание на проектното предложение да отпадне изискването за “</w:t>
            </w:r>
            <w:r w:rsidRPr="00770D6A">
              <w:rPr>
                <w:rFonts w:ascii="Times New Roman" w:hAnsi="Times New Roman" w:cs="Times New Roman"/>
                <w:i/>
                <w:iCs/>
                <w:sz w:val="24"/>
                <w:szCs w:val="24"/>
              </w:rPr>
              <w:t>описание на капацитета на предвидените активи в проектното предложение</w:t>
            </w:r>
            <w:r w:rsidRPr="00770D6A">
              <w:rPr>
                <w:rFonts w:ascii="Times New Roman" w:hAnsi="Times New Roman" w:cs="Times New Roman"/>
                <w:sz w:val="24"/>
                <w:szCs w:val="24"/>
              </w:rPr>
              <w:t>”. Капацитетът на активите (техническите характеристики) се посочват в секция В от същия работен лист.</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лист Обща информация, текстът в секция В. следва да се уеднакви с изискванията на т. 9 от Раздел 9.1 от УК.</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В лист Обща информация да отпадне целия раздел II. Описание на кандидата и осъществяваната от него дейност. Тази информация не е необходима, тъй като тя е налична в съответните регистри.</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В лист “Т2” е записано следното: </w:t>
            </w:r>
            <w:r w:rsidRPr="00770D6A">
              <w:rPr>
                <w:rFonts w:ascii="Times New Roman" w:hAnsi="Times New Roman" w:cs="Times New Roman"/>
                <w:b/>
                <w:bCs/>
                <w:i/>
                <w:iCs/>
                <w:sz w:val="24"/>
                <w:szCs w:val="24"/>
              </w:rPr>
              <w:t>ВАЖНО!!!</w:t>
            </w:r>
            <w:r w:rsidRPr="00770D6A">
              <w:rPr>
                <w:rFonts w:ascii="Times New Roman" w:hAnsi="Times New Roman" w:cs="Times New Roman"/>
                <w:i/>
                <w:iCs/>
                <w:sz w:val="24"/>
                <w:szCs w:val="24"/>
              </w:rPr>
              <w:t xml:space="preserve"> Когато кандидатът е подал заявления за подпомагане и по интервенция ІІ.Г.1.1., в което приходите от продажби се формират от едни и същи площи с култури/видове и брой животни, за изчисляването на показателите на бизнес плана в таблицата се посочват и заявените разходи по заявлението за подпомагане по интервенция ІІ.Г.1.1</w:t>
            </w:r>
            <w:r w:rsidRPr="00770D6A">
              <w:rPr>
                <w:rFonts w:ascii="Times New Roman" w:hAnsi="Times New Roman" w:cs="Times New Roman"/>
                <w:sz w:val="24"/>
                <w:szCs w:val="24"/>
              </w:rPr>
              <w:t>. В тази връзка считаме, че следва да е налична клетка, в която да се вписва конкретна стойност.</w:t>
            </w:r>
          </w:p>
          <w:p w:rsidR="00813D0C" w:rsidRPr="00770D6A" w:rsidRDefault="00813D0C" w:rsidP="00813D0C">
            <w:pPr>
              <w:numPr>
                <w:ilvl w:val="0"/>
                <w:numId w:val="4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sz w:val="24"/>
                <w:szCs w:val="24"/>
              </w:rPr>
              <w:t xml:space="preserve">В лист “Резултати” следва изрично да се посочи, че в стойността на "Io" се включват и разходите по заявлението за подпомагане по интервенция ІІ.Г.1.1, в което приходите от продажби се формират от едни и същи площи с култури/видове и брой животни.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39.Предлагаме в Раздел V от Приложение № 4 - Декларация при кандидатстване да добавим и финансовите отчети за 2025 г. Доколкото приемът на заявление за подпомагане ще приключи през 2026 г. е възможно по време на извършване на административните проверки кандидатите да имат изготвени и подадени към НСИ финансови отчети за 2025 г. Същото се отнася и за Приложение № 5 от Условията за кандидатстване.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40. Предлагаме в Приложение № 4 в частта „Декларация за нередности“ да се актуализират определенията за измама, нередност и да се добави определение за „съмнение за измама“ с оглед привеждането им в съответствие с приложимото европейско и национално законодателство в областта – чл. 3 и чл. 4 от Директива 2017/1371, Регламент (ЕО, ЕВРАТОМ) № 2988/95, Наредба за администриране на нередности по европейските структурни и инвестиционни фондове и др. относими нормативни актове. В допълнение, бихме искали да уточним, че е посочен един начин за подаване на сигнал за нередност, включително при съмнение за измама и в тази връзка на електронната страница на ДФЗ в раздел „Подай сигнал“, подраздел „Подай сигнал за нередност/измама“ са указани допълнителни начини за подаване на сигнали. В тази връзка, с цел информираност на кандидатите, цитираната по-горе декларация следва да бъде актуализирана.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41. Предвид текстовете от СПРЗСР по интервенция Г.1 относно избягване на двойно финансиране, считаме, че следва да бъдат включени ограниченията за следните сектори: плодове и зеленчуци, вино, пчеларство, мляко и млечни продукти, хмел, тютюн и зехтин.</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42. В лист “</w:t>
            </w:r>
            <w:r w:rsidRPr="00770D6A">
              <w:rPr>
                <w:rFonts w:ascii="Times New Roman" w:hAnsi="Times New Roman" w:cs="Times New Roman"/>
                <w:i/>
                <w:iCs/>
                <w:sz w:val="24"/>
                <w:szCs w:val="24"/>
              </w:rPr>
              <w:t>1.Заявление</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следва да бъдат коригирани падащите менюта на следните редове: “4.1. възложител по ЗОП”; “4.2. група или организация на производители”; “4.3. ЕТ или ЕООД, което желае да бъдат признати обстоятелствата за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43. В лист “</w:t>
            </w:r>
            <w:r w:rsidRPr="00770D6A">
              <w:rPr>
                <w:rFonts w:ascii="Times New Roman" w:hAnsi="Times New Roman" w:cs="Times New Roman"/>
                <w:i/>
                <w:iCs/>
                <w:sz w:val="24"/>
                <w:szCs w:val="24"/>
              </w:rPr>
              <w:t>3.Заявени разходи</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следва да бъде коригирано падащото меню в колона “Група разход” за раздел "</w:t>
            </w:r>
            <w:r w:rsidRPr="00770D6A">
              <w:rPr>
                <w:rFonts w:ascii="Times New Roman" w:hAnsi="Times New Roman" w:cs="Times New Roman"/>
                <w:i/>
                <w:iCs/>
                <w:sz w:val="24"/>
                <w:szCs w:val="24"/>
              </w:rPr>
              <w:t>II. Разходи за закупуване/придобиване на нематериални активи  (без извършване на строително монтажни работи)</w:t>
            </w:r>
            <w:r w:rsidRPr="00770D6A">
              <w:rPr>
                <w:rFonts w:ascii="Times New Roman" w:hAnsi="Times New Roman" w:cs="Times New Roman"/>
                <w:sz w:val="24"/>
                <w:szCs w:val="24"/>
              </w:rPr>
              <w:t>". Единствената възможна опция за избор следва да бъде “1.2.1. закупуване на софтуер”.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44. В лист “</w:t>
            </w:r>
            <w:r w:rsidRPr="00770D6A">
              <w:rPr>
                <w:rFonts w:ascii="Times New Roman" w:hAnsi="Times New Roman" w:cs="Times New Roman"/>
                <w:i/>
                <w:iCs/>
                <w:sz w:val="24"/>
                <w:szCs w:val="24"/>
              </w:rPr>
              <w:t>3.Заявени разходи</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следва да бъде коригирано падащото меню в колона “Група разход” за раздел "</w:t>
            </w:r>
            <w:r w:rsidRPr="00770D6A">
              <w:rPr>
                <w:rFonts w:ascii="Times New Roman" w:hAnsi="Times New Roman" w:cs="Times New Roman"/>
                <w:i/>
                <w:iCs/>
                <w:sz w:val="24"/>
                <w:szCs w:val="24"/>
              </w:rPr>
              <w:t>III. Разходи за извършване на строително монтажни работи</w:t>
            </w:r>
            <w:r w:rsidRPr="00770D6A">
              <w:rPr>
                <w:rFonts w:ascii="Times New Roman" w:hAnsi="Times New Roman" w:cs="Times New Roman"/>
                <w:sz w:val="24"/>
                <w:szCs w:val="24"/>
              </w:rPr>
              <w:t>", като се добавят разходите за  “Съоръжения за локално съхранение на енергия (батерии)”. В тази връзка, в колона “Мярка” следва да е наличен избор “kWh”.</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45. В лист “</w:t>
            </w:r>
            <w:r w:rsidRPr="00770D6A">
              <w:rPr>
                <w:rFonts w:ascii="Times New Roman" w:hAnsi="Times New Roman" w:cs="Times New Roman"/>
                <w:i/>
                <w:iCs/>
                <w:sz w:val="24"/>
                <w:szCs w:val="24"/>
              </w:rPr>
              <w:t>3.Заявени разходи</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редовете в раздел “VI. Други общи разходи, свързани с инвестицията” са заключени за писане.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46. В лист “</w:t>
            </w:r>
            <w:r w:rsidRPr="00770D6A">
              <w:rPr>
                <w:rFonts w:ascii="Times New Roman" w:hAnsi="Times New Roman" w:cs="Times New Roman"/>
                <w:i/>
                <w:iCs/>
                <w:sz w:val="24"/>
                <w:szCs w:val="24"/>
              </w:rPr>
              <w:t>3.Заявени разходи</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формулите в колона "AG" не работят правилно.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47. В лист “</w:t>
            </w:r>
            <w:r w:rsidRPr="00770D6A">
              <w:rPr>
                <w:rFonts w:ascii="Times New Roman" w:hAnsi="Times New Roman" w:cs="Times New Roman"/>
                <w:i/>
                <w:iCs/>
                <w:sz w:val="24"/>
                <w:szCs w:val="24"/>
              </w:rPr>
              <w:t>3.Заявени разходи</w:t>
            </w:r>
            <w:r w:rsidRPr="00770D6A">
              <w:rPr>
                <w:rFonts w:ascii="Times New Roman" w:hAnsi="Times New Roman" w:cs="Times New Roman"/>
                <w:sz w:val="24"/>
                <w:szCs w:val="24"/>
              </w:rPr>
              <w:t>” от Приложение № 1 “</w:t>
            </w:r>
            <w:r w:rsidRPr="00770D6A">
              <w:rPr>
                <w:rFonts w:ascii="Times New Roman" w:hAnsi="Times New Roman" w:cs="Times New Roman"/>
                <w:i/>
                <w:iCs/>
                <w:sz w:val="24"/>
                <w:szCs w:val="24"/>
              </w:rPr>
              <w:t>Информация за попълване на заявление за подпомагане в СЕУ</w:t>
            </w:r>
            <w:r w:rsidRPr="00770D6A">
              <w:rPr>
                <w:rFonts w:ascii="Times New Roman" w:hAnsi="Times New Roman" w:cs="Times New Roman"/>
                <w:sz w:val="24"/>
                <w:szCs w:val="24"/>
              </w:rPr>
              <w:t>”, падащото меню в колона “Група разход” за раздел "VI</w:t>
            </w:r>
            <w:r w:rsidRPr="00770D6A">
              <w:rPr>
                <w:rFonts w:ascii="Times New Roman" w:hAnsi="Times New Roman" w:cs="Times New Roman"/>
                <w:i/>
                <w:iCs/>
                <w:sz w:val="24"/>
                <w:szCs w:val="24"/>
              </w:rPr>
              <w:t>. Други общи разходи, свързани с инвестицията</w:t>
            </w:r>
            <w:r w:rsidRPr="00770D6A">
              <w:rPr>
                <w:rFonts w:ascii="Times New Roman" w:hAnsi="Times New Roman" w:cs="Times New Roman"/>
                <w:sz w:val="24"/>
                <w:szCs w:val="24"/>
              </w:rPr>
              <w:t>" следва да бъде приведено в съответствие с Условията за кандидатстване.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48. Необходимо е навсякъде, където се въвеждат стойности да се премахне текста “в лева”. След 01.01.2026 г. всички цени ще бъдат в евро. В тази връзка считаме за удачно, в Условията за кандидатстване да бъде указано, че след 01.01.2026 г. кандидатите следва да заявяват в СЕУ суми в евро.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49. Съгласно лист “</w:t>
            </w:r>
            <w:r w:rsidRPr="00770D6A">
              <w:rPr>
                <w:rFonts w:ascii="Times New Roman" w:hAnsi="Times New Roman" w:cs="Times New Roman"/>
                <w:i/>
                <w:iCs/>
                <w:sz w:val="24"/>
                <w:szCs w:val="24"/>
              </w:rPr>
              <w:t>4. Оперативна печалба</w:t>
            </w:r>
            <w:r w:rsidRPr="00770D6A">
              <w:rPr>
                <w:rFonts w:ascii="Times New Roman" w:hAnsi="Times New Roman" w:cs="Times New Roman"/>
                <w:sz w:val="24"/>
                <w:szCs w:val="24"/>
              </w:rPr>
              <w:t xml:space="preserve">”, при изчисляване на съотношението “К” се вземат предвид само заявените </w:t>
            </w:r>
            <w:r w:rsidRPr="00770D6A">
              <w:rPr>
                <w:rFonts w:ascii="Times New Roman" w:hAnsi="Times New Roman" w:cs="Times New Roman"/>
                <w:b/>
                <w:bCs/>
                <w:sz w:val="24"/>
                <w:szCs w:val="24"/>
              </w:rPr>
              <w:t xml:space="preserve">инвестиционни </w:t>
            </w:r>
            <w:r w:rsidRPr="00770D6A">
              <w:rPr>
                <w:rFonts w:ascii="Times New Roman" w:hAnsi="Times New Roman" w:cs="Times New Roman"/>
                <w:sz w:val="24"/>
                <w:szCs w:val="24"/>
              </w:rPr>
              <w:t>разходи. Това противоречи на заложеното минимално изискване по критерий 4.1, съгласно което: “Точките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 В тази връзка, при изчисляване на съотношението “К” следва да се вземат предвид всички заявени за финансиране разходи (вкл. Предварителните/общите разходи по т. 2 от Раздел 10 от УК). Ето защо формулата в лист “</w:t>
            </w:r>
            <w:r w:rsidRPr="00770D6A">
              <w:rPr>
                <w:rFonts w:ascii="Times New Roman" w:hAnsi="Times New Roman" w:cs="Times New Roman"/>
                <w:i/>
                <w:iCs/>
                <w:sz w:val="24"/>
                <w:szCs w:val="24"/>
              </w:rPr>
              <w:t>4. Оперативна печалба</w:t>
            </w:r>
            <w:r w:rsidRPr="00770D6A">
              <w:rPr>
                <w:rFonts w:ascii="Times New Roman" w:hAnsi="Times New Roman" w:cs="Times New Roman"/>
                <w:sz w:val="24"/>
                <w:szCs w:val="24"/>
              </w:rPr>
              <w:t>” следва да бъде променена.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50. Предлагаме в Раздел 11.2 "Методика за прилагане на критериите за подбор" от Условията за кандидатстване: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Текстът в т. 14.1. “Това условие не се отнася за критерий 4.1 за кандидати - земеделски стопани, тъй като оценката се основава на данни от минали периоди, критерий 5.1, при спазване на изискванията по т. 5.2.2 от Раздел А от Условията за изпълнение и за критерий 5.5.” </w:t>
            </w:r>
            <w:r w:rsidRPr="00770D6A">
              <w:rPr>
                <w:rFonts w:ascii="Times New Roman" w:hAnsi="Times New Roman" w:cs="Times New Roman"/>
                <w:i/>
                <w:iCs/>
                <w:sz w:val="24"/>
                <w:szCs w:val="24"/>
              </w:rPr>
              <w:t>да придобие следната редакция:</w:t>
            </w:r>
            <w:r w:rsidRPr="00770D6A">
              <w:rPr>
                <w:rFonts w:ascii="Times New Roman" w:hAnsi="Times New Roman" w:cs="Times New Roman"/>
                <w:sz w:val="24"/>
                <w:szCs w:val="24"/>
              </w:rPr>
              <w:t xml:space="preserve"> “Това условие не се отнася за критерий 4.1 за кандидати - земеделски стопани, тъй като оценката се основава на данни от минали периоди, критерий 5.1, при спазване на изискванията по т. 5.2.3 от Раздел А от Условията за изпълнение и за критерий 5.5.”</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60. Предлагаме Следната редакция в Условията за изпълнение: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В Раздел А. Техническо изпълнение на заявленията за подпомагане:</w:t>
            </w:r>
            <w:r w:rsidRPr="00770D6A">
              <w:rPr>
                <w:rFonts w:ascii="Times New Roman" w:hAnsi="Times New Roman" w:cs="Times New Roman"/>
                <w:sz w:val="24"/>
                <w:szCs w:val="24"/>
              </w:rPr>
              <w:t xml:space="preserve"> Текстът в т. 2.1. „Бенефициентът се задължава да започне реалното изпълнение на одобрения проект в срок не по-дълъг от девет месеца от сключване на административния договор, за което да уведоми Фонда, като представи надлежни доказателства за това в същия срок. Когато до изтичането на срока по изр. първо Бенефициентът представи на Фонда надлежни документи, пряко свързани с изпълнението, от които е видно, че е извършил или извършва реални действия и започването на изпълнението е предстоящо. Този срок може да бъде удължен по преценка на Фонда, но с не повече от три месеца.“ </w:t>
            </w:r>
            <w:r w:rsidRPr="00770D6A">
              <w:rPr>
                <w:rFonts w:ascii="Times New Roman" w:hAnsi="Times New Roman" w:cs="Times New Roman"/>
                <w:b/>
                <w:bCs/>
                <w:i/>
                <w:iCs/>
                <w:sz w:val="24"/>
                <w:szCs w:val="24"/>
              </w:rPr>
              <w:t>да отпадне поради следните причини:</w:t>
            </w:r>
            <w:r w:rsidRPr="00770D6A">
              <w:rPr>
                <w:rFonts w:ascii="Times New Roman" w:hAnsi="Times New Roman" w:cs="Times New Roman"/>
                <w:sz w:val="24"/>
                <w:szCs w:val="24"/>
              </w:rPr>
              <w:t xml:space="preserve"> Подобно изискване не е заложено в Стратегическия план и в европейското законодателство за прилагането му, включително в нито един от приложимите регламенти. Посоченото условие липсва и като задължение по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следователно законодателят е преценил, че то е ирелевантно за интервенциите по СПРЗСР.</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тази връзка, следва да се отбележи, че към никоя друга интервенция не е предвидено задължение за бенефициента да започне реалното изпълнение на одобреното заявление за подпомагане в определен срок след сключване на административния договор. Посоченото води до необоснован, нееднотипен подход, спрямо бенефициентите по плана.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Посоченото задължение за започване на изпълнението в определен срок беше заложено по всички мерки от ПРСР 2014-2020 г., но въпреки неговото спазване, част от бенефициентите отново не успяваха да приключат успешно проектите си и да подадат искания за окончателно плащане. Във връзка с гореизложеното, беше извършен обстоен анализ от страна на Държавен Фонд “Земеделие” по отношение на прилагането и контрола на това изискване, като беше установено, че спазването му не носи полза за проследяване реализацията на проектите. Посоченото се потвърждавана от данните от анализ, които сочат, че над 65% от проектите по мярка 4 от ПРСР 2014-2020 г., които са прекратени поради неподадени искания за плащане са били стартирали надлежно.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Създават се допълнителни затруднения в случаите, когато се забавят доставките или осъществяването на дейностите по вина на доставчиците или се налага промяна на част от одобрената инвестиция, установена в процеса на изпълнението й. Основните затруднения при спазването на задължението са при забавяне осигуряването на кредитиране, което става причина и за предсрочното погасяване на възможностите за изпълнение на вече обработените и одобрени проекти. Подготовката на документите за удостоверяване изпълнението на изискването и тяхната обработка, допринася за създаване на ненужна тежест, както за бенефициентите, така и за администрацията.</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1C1239" w:rsidRPr="00770D6A" w:rsidRDefault="001C1239"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Приема се.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Коментарите по интервенция II.Г.1 и отговорите са посочени под настоящите коментари.</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Условието е коригирано.</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Приема се.</w:t>
            </w:r>
          </w:p>
          <w:p w:rsidR="00813D0C" w:rsidRDefault="00813D0C" w:rsidP="00813D0C">
            <w:pPr>
              <w:spacing w:line="276" w:lineRule="auto"/>
              <w:jc w:val="both"/>
              <w:rPr>
                <w:rFonts w:ascii="Times New Roman" w:hAnsi="Times New Roman" w:cs="Times New Roman"/>
                <w:sz w:val="24"/>
                <w:szCs w:val="24"/>
              </w:rPr>
            </w:pPr>
          </w:p>
          <w:p w:rsidR="00F83E78" w:rsidRPr="00770D6A" w:rsidRDefault="00F83E78"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F83E78" w:rsidRPr="00770D6A" w:rsidRDefault="00F83E78"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Предложената промяна на обхвата на понятието не покрива изискванията на чл. 74 от Регламент (ЕС) 2021/2115.</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F83E78" w:rsidRPr="00770D6A" w:rsidRDefault="00F83E78"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5.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7.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8.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методиката е обособена част, която се отнася за извършване на оценка при закупуване на прикачна техника.</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9. Приема се частично.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Текстовете са прецизирани.</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10.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11.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13.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Чл. 74 от Регламент (ЕС) 2021/2115 предвижда специфични изисквания, когато се засягат обекти от подпочвени или повърхностни води с определена категория състояние според причини/съображения, </w:t>
            </w:r>
            <w:r w:rsidRPr="00770D6A">
              <w:rPr>
                <w:rFonts w:ascii="Times New Roman" w:hAnsi="Times New Roman" w:cs="Times New Roman"/>
                <w:i/>
                <w:sz w:val="24"/>
                <w:szCs w:val="24"/>
              </w:rPr>
              <w:t>„свързани с количеството на водите“</w:t>
            </w:r>
            <w:r w:rsidRPr="00770D6A">
              <w:rPr>
                <w:rFonts w:ascii="Times New Roman" w:hAnsi="Times New Roman" w:cs="Times New Roman"/>
                <w:sz w:val="24"/>
                <w:szCs w:val="24"/>
              </w:rPr>
              <w:t>. В същото време, в т. 72 и т. 73 от Допълнителните разпоредби на Закона за водите (ЗВ) са посочени дефиниции за състоянието на водите, а именно:</w:t>
            </w:r>
          </w:p>
          <w:p w:rsidR="00813D0C" w:rsidRPr="00770D6A" w:rsidRDefault="00813D0C" w:rsidP="00813D0C">
            <w:pPr>
              <w:spacing w:line="276" w:lineRule="auto"/>
              <w:jc w:val="both"/>
              <w:rPr>
                <w:rFonts w:ascii="Times New Roman" w:hAnsi="Times New Roman" w:cs="Times New Roman"/>
                <w:i/>
                <w:sz w:val="24"/>
                <w:szCs w:val="24"/>
              </w:rPr>
            </w:pPr>
            <w:r w:rsidRPr="00770D6A">
              <w:rPr>
                <w:rFonts w:ascii="Times New Roman" w:hAnsi="Times New Roman" w:cs="Times New Roman"/>
                <w:i/>
                <w:sz w:val="24"/>
                <w:szCs w:val="24"/>
              </w:rPr>
              <w:t>„72. "състояние на повърхностните води" е общ израз за състоянието на повърхностно водно тяло, определено от по-лошото от екологичното и химичното му състояние;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sz w:val="24"/>
                <w:szCs w:val="24"/>
              </w:rPr>
              <w:t>73. "състояние на подземните води" е общ израз на състоянието на подземно водно тяло, определено от по-лошото от количественото и химичното му състояние;“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горното е изпратено писмо до МОСВ относно издаването на становище с разяснения и насоки по поставения въпрос.</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предвид аналогичното изискване в чл. 46 от Регламент (ЕС) № 1305/2013 за предходния програмен период, в Указания относно подкрепата чрез ЕЗФРСР за инвестиции в напояване, е представено следното становище:</w:t>
            </w:r>
          </w:p>
          <w:p w:rsidR="00813D0C" w:rsidRPr="00770D6A" w:rsidRDefault="00813D0C" w:rsidP="00813D0C">
            <w:pPr>
              <w:spacing w:line="276" w:lineRule="auto"/>
              <w:jc w:val="both"/>
              <w:rPr>
                <w:rFonts w:ascii="Times New Roman" w:hAnsi="Times New Roman" w:cs="Times New Roman"/>
                <w:i/>
                <w:sz w:val="24"/>
                <w:szCs w:val="24"/>
              </w:rPr>
            </w:pPr>
            <w:r w:rsidRPr="00770D6A">
              <w:rPr>
                <w:rFonts w:ascii="Times New Roman" w:hAnsi="Times New Roman" w:cs="Times New Roman"/>
                <w:i/>
                <w:sz w:val="24"/>
                <w:szCs w:val="24"/>
              </w:rPr>
              <w:t>„Едно повърхностно водно тяло има „добро състояние“ като цяло, ако има както добро „екологично състояние“, така и добро „химично състояние“ (виж член 2, точка 17, РДВ). Следователно е ясно, че понятието "количествено състояние" не се прилага към повърхностните водни тела. Въпреки това, както е посочено в приложение V на РДВ, екологичното състояние взема предвид "хидроложкия режим", който е поддържащ елемент за качество. Ако едно повърхностно водно тяло няма добро цялостно състояние, за да се определи дали това е поради причини, свързани с количеството на водата, е необходимо само да се проверят неговите качествени елементи, формиращи екологичното състояние, и да се установи дали оценката за параметрите/метриките е чувствителна към хидрологията е поне "добра". (Имайте предвид, че методите за оценка на екологичното състояние, съответстващи на РДВ, трябва да вземат предвид всички съществуващи натиск върху водните тела, включително тези от водовземания.)“</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14.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16.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17.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Условието не допуска подпомагане за инвестиции за привеждане в съответствие с действащи стандарти, например свързани с предписание от компетентен орган, но не забранява инвестиции, които са за ново изграждане/реконструиране на обекти.</w:t>
            </w: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1C1239" w:rsidRPr="00770D6A" w:rsidRDefault="001C1239"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18.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Предвид всеобхватността на допустимите разходи в настоящия прием, УО не намира основание за извършване на предложеното изменение на текста.</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19.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1C1239" w:rsidRPr="00770D6A" w:rsidRDefault="001C1239"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20.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21.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Съгласно чл. 15, ал. 2 от Закон за въвеждане на еврото в Република България </w:t>
            </w:r>
            <w:r w:rsidRPr="00770D6A">
              <w:rPr>
                <w:rFonts w:ascii="Times New Roman" w:hAnsi="Times New Roman" w:cs="Times New Roman"/>
                <w:i/>
                <w:sz w:val="24"/>
                <w:szCs w:val="24"/>
              </w:rPr>
              <w:t>„периодът на двойно обозначаване на цените на стоките и услугите в евро и в левове започва на 8 август 2025 г. и приключва на 8 август 2026 г.“</w:t>
            </w:r>
            <w:r w:rsidRPr="00770D6A">
              <w:rPr>
                <w:rFonts w:ascii="Times New Roman" w:hAnsi="Times New Roman" w:cs="Times New Roman"/>
                <w:sz w:val="24"/>
                <w:szCs w:val="24"/>
              </w:rPr>
              <w:t>, т.е. целият период на прием попада в периода на двойното обозначаване на цените.</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22.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23. Приема се.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Условията за кандидатстване преместваемите обекти са допустими при представяне на изискуемите документи за това.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24.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Инвестициите за поене на животните в животновъдните обекти не попадат в обхвата на понятието „напоителни системи/инсталации“.</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5A6C4A" w:rsidRPr="00770D6A" w:rsidRDefault="005A6C4A"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26.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чл. 11, ал.2 от Наредба № 4 от 2024 г. предварителна оценка 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 Представените документи трябва да отговарят на съответните изисквания и указания, посочени в условията за кандидатстване по съответната процедура чрез подбор, да съдържат задължителните реквизити и да дават достатъчна информация за еднозначно определяне на тежестта на критерия за подбор. Това условие означава, че не може да се изискват документи и пояснения на този етап. Допълнителни документи могат да се изискват при административните проверки в чл. 12.</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27.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5A6C4A" w:rsidRPr="00770D6A" w:rsidRDefault="005A6C4A"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28.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29.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30.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31. Не е ясен коментара.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33.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34.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pPr>
            <w:r w:rsidRPr="00770D6A">
              <w:rPr>
                <w:rFonts w:ascii="Times New Roman" w:hAnsi="Times New Roman" w:cs="Times New Roman"/>
                <w:b/>
                <w:sz w:val="24"/>
                <w:szCs w:val="24"/>
              </w:rPr>
              <w:t>36.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чл. 11, ал.2 от Наредба № 4 от 2024 г. предварителна оценка се извършва въз основа на приложените към заявленията за подпомагане изискуеми документи за доказване на съответствие с изпълнение на изискванията на съответния критерий за подбор и служебни проверки за условията, за които не е предвидено представяне на документи. Представените документи трябва да отговарят на съответните изисквания и указания, посочени в условията за кандидатстване по съответната процедура чрез подбор, да съдържат задължителните реквизити и да дават достатъчна информация за еднозначно определяне на тежестта на критерия за подбор. Това условие означава, че не може да се изискват документи и пояснения на този етап. Допълнителни документи могат да се изискват при административните проверки в чл. 12.</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37.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38.1.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38.2.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38.3.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38.4. Приема се.</w:t>
            </w: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38.5.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Съгласно указанието, в самата Таблица 2 следва да се посочат данни за конкретните разходи, заявени за подпомагане по интервенция ІІ.Г.1.1.</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5A6C4A" w:rsidRPr="00770D6A" w:rsidRDefault="005A6C4A"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38.6.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І</w:t>
            </w:r>
            <w:r w:rsidRPr="00770D6A">
              <w:rPr>
                <w:rFonts w:ascii="Times New Roman" w:hAnsi="Times New Roman" w:cs="Times New Roman"/>
                <w:sz w:val="24"/>
                <w:szCs w:val="24"/>
                <w:vertAlign w:val="subscript"/>
              </w:rPr>
              <w:t>0</w:t>
            </w:r>
            <w:r w:rsidRPr="00770D6A">
              <w:rPr>
                <w:rFonts w:ascii="Times New Roman" w:hAnsi="Times New Roman" w:cs="Times New Roman"/>
                <w:sz w:val="24"/>
                <w:szCs w:val="24"/>
              </w:rPr>
              <w:t xml:space="preserve"> се сумират разходите от Таблица 1 и от Таблица 2. Предвид уточнението по предходния коментар, че заявените разходи по интервенция ІІ.Г.1.1. се описват в Таблица 2, няма необходимост от промяна във формулата за І</w:t>
            </w:r>
            <w:r w:rsidRPr="00770D6A">
              <w:rPr>
                <w:rFonts w:ascii="Times New Roman" w:hAnsi="Times New Roman" w:cs="Times New Roman"/>
                <w:sz w:val="24"/>
                <w:szCs w:val="24"/>
                <w:vertAlign w:val="subscript"/>
              </w:rPr>
              <w:t>0</w:t>
            </w:r>
            <w:r w:rsidRPr="00770D6A">
              <w:rPr>
                <w:rFonts w:ascii="Times New Roman" w:hAnsi="Times New Roman" w:cs="Times New Roman"/>
                <w:sz w:val="24"/>
                <w:szCs w:val="24"/>
              </w:rPr>
              <w:t>.</w:t>
            </w: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39.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УО не намира основание за добавяне и на 2025 г. в декларацията, предвид факта, че данните са необходими за изчисление на критерий за оценка 4.1, където са фиксирани конкретни години.</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40.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41.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44.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45.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46.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47.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48.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49.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50.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51. Приема се.</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АЗПБ</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18:18:51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Във връзка с публикуваните за обществено обсъждане проекти на насоки по интервенции II.Г.1 „Инвестиции в земеделските стопанства“ и II.Г.1.1 „Инвестиции в земеделските стопанства, насочени към опазване на компонентите на околната среда“ на СПРЗСР 2023-2027, Асоциация на земеделските производители в България (АЗПБ) приложено предоставя на Вашето внимание аргументирани предложения, които се надявам да бъдат анализирани и приети при финализирането на проектите на Насоки, отнасящи се до: </w:t>
            </w:r>
          </w:p>
          <w:p w:rsidR="00813D0C" w:rsidRPr="00770D6A" w:rsidRDefault="00813D0C" w:rsidP="00813D0C">
            <w:pPr>
              <w:numPr>
                <w:ilvl w:val="0"/>
                <w:numId w:val="1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раздел 11.2 „Методика за прилагане на критериите за подбор“ от Условия за кандидатстване (УК);</w:t>
            </w:r>
          </w:p>
          <w:p w:rsidR="00813D0C" w:rsidRPr="00770D6A" w:rsidRDefault="00813D0C" w:rsidP="00813D0C">
            <w:pPr>
              <w:numPr>
                <w:ilvl w:val="0"/>
                <w:numId w:val="1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раздел 13 „Подаване и разглеждане на заявления за подпомагане“ на УК;</w:t>
            </w:r>
          </w:p>
          <w:p w:rsidR="00813D0C" w:rsidRPr="00770D6A" w:rsidRDefault="00813D0C" w:rsidP="00813D0C">
            <w:pPr>
              <w:numPr>
                <w:ilvl w:val="0"/>
                <w:numId w:val="1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Приложение № 10 „Списъци по Приоритет 2“ от раздел 15 „Приложения“ на УК;</w:t>
            </w:r>
          </w:p>
          <w:p w:rsidR="00813D0C" w:rsidRPr="00770D6A" w:rsidRDefault="00813D0C" w:rsidP="00813D0C">
            <w:pPr>
              <w:numPr>
                <w:ilvl w:val="0"/>
                <w:numId w:val="19"/>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Предложение за организиране и провеждане на онлайн среща с организации от сектор „свине“, „птици“ и „говеда“ за своевременно обсъждане, прецизиране и финализиране на Приложение 10 от УК.</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АЗПБ остава в готовност за бъдещо съдействие и сътрудничество с УО при подготовката на предстоящите приеми по двете интервенции.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Асоциация на земеделските производители в България (АЗПБ) приветства усилията на </w:t>
            </w:r>
            <w:r w:rsidRPr="00770D6A">
              <w:rPr>
                <w:rFonts w:ascii="Times New Roman" w:hAnsi="Times New Roman" w:cs="Times New Roman"/>
                <w:sz w:val="24"/>
                <w:szCs w:val="24"/>
              </w:rPr>
              <w:t xml:space="preserve">Управляващия орган на СПРЗСР 2023-2027 (УО) в подготовката на предстоящите за отваряне през месец ноември 2025 г. първи приеми по интервенции II.Г.1 „Инвестиции в земеделските стопанства“ (II.Г.1) и II.Г.1.1. „Инвестиции в земеделските стопанства насочени към опазване на компонентите на околната среда“ (II.Г.1.1), както и възприетите към момента някои от предложенията на АЗПБ, официално изпратени до УО в процеса на предварителната подготовка и на проведени дискусии с агросектора. Във връзка с публикуваните за обществено обсъждане проекти на насоки по интервенции II.Г.1 и II.Г.1.1 </w:t>
            </w:r>
            <w:r w:rsidRPr="00770D6A">
              <w:rPr>
                <w:rFonts w:ascii="Times New Roman" w:hAnsi="Times New Roman" w:cs="Times New Roman"/>
                <w:b/>
                <w:bCs/>
                <w:sz w:val="24"/>
                <w:szCs w:val="24"/>
              </w:rPr>
              <w:t xml:space="preserve">АЗПБ представя на Вашето внимание следните коментари и аргументирани предложения: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1. Предложения към раздел 11.2 „Методика за прилагане на критериите за подбор“ от Условия за кандидатстване (УК);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1.1. С цел прецизиране и по- голяма яснота предлагаме следната редакция на т. 10: </w:t>
            </w:r>
            <w:r w:rsidRPr="00770D6A">
              <w:rPr>
                <w:rFonts w:ascii="Times New Roman" w:hAnsi="Times New Roman" w:cs="Times New Roman"/>
                <w:sz w:val="24"/>
                <w:szCs w:val="24"/>
              </w:rPr>
              <w:t>„</w:t>
            </w:r>
            <w:r w:rsidRPr="00770D6A">
              <w:rPr>
                <w:rFonts w:ascii="Times New Roman" w:hAnsi="Times New Roman" w:cs="Times New Roman"/>
                <w:i/>
                <w:iCs/>
                <w:sz w:val="24"/>
                <w:szCs w:val="24"/>
              </w:rPr>
              <w:t>10. Предимство по критерий 5.4. получават заявления за подпомагане, в които над 25% от одобрените за подпомагане разходи са свързани с напояване - инвестиции в изграждане, реконструкция/рехабилитация на съоръжения и закупуване и монтиране на оборудване, включително кладенци и съоръжения за съхранение на вода за напояване, включващи изграждането на нови и подобряване на съществуващи мрежи в рамките на стопанството на кандидата, в това число и за осигуряване на необходимото качество и количество вода за нуждите на животновъдни обекти.</w:t>
            </w:r>
            <w:r w:rsidRPr="00770D6A">
              <w:rPr>
                <w:rFonts w:ascii="Times New Roman" w:hAnsi="Times New Roman" w:cs="Times New Roman"/>
                <w:sz w:val="24"/>
                <w:szCs w:val="24"/>
              </w:rPr>
              <w:t xml:space="preserve">“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1.2. В унисон с базираната на SWOT анализ на СПРЗСР интервенционна логика, хоризонталните приоритети и приносът на интервенцията към постигане на специфичните цели на политиката, а същото така и на официално изразените позиции от представители на политическия кабинет на МЗХ, предлагаме следната редакция на т. 13. „За заявления за подпомагане, които са получили еднакъв общ брой точки се извършва класиране в низходящ ред съобразно:“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„13.1. </w:t>
            </w:r>
            <w:r w:rsidRPr="00770D6A">
              <w:rPr>
                <w:rFonts w:ascii="Times New Roman" w:hAnsi="Times New Roman" w:cs="Times New Roman"/>
                <w:i/>
                <w:iCs/>
                <w:sz w:val="24"/>
                <w:szCs w:val="24"/>
              </w:rPr>
              <w:t xml:space="preserve">Получения брой точки по критерий 5.1. „Заявление за подпомагане, представено от кандидат от 18 до 40 години включително.“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13.2. </w:t>
            </w:r>
            <w:r w:rsidRPr="00770D6A">
              <w:rPr>
                <w:rFonts w:ascii="Times New Roman" w:hAnsi="Times New Roman" w:cs="Times New Roman"/>
                <w:i/>
                <w:iCs/>
                <w:sz w:val="24"/>
                <w:szCs w:val="24"/>
              </w:rPr>
              <w:t xml:space="preserve">В случай, че заявления за подпомагане имат равен брой точки по посочения в т. 13.1 критерий, същите ще бъдат класирани в низходящ ред съобразно получения брой точки по критерий 1.1. „Заявления за подпомагане, насочени към производство на биологични продукти“.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13.3. </w:t>
            </w:r>
            <w:r w:rsidRPr="00770D6A">
              <w:rPr>
                <w:rFonts w:ascii="Times New Roman" w:hAnsi="Times New Roman" w:cs="Times New Roman"/>
                <w:i/>
                <w:iCs/>
                <w:sz w:val="24"/>
                <w:szCs w:val="24"/>
              </w:rPr>
              <w:t xml:space="preserve">В случай, че заявления за подпомагане имат равен брой точки по посочения в т. 13.2 критерий, същите ще бъдат класирани в низходящ ред съобразно получения брой точки по критерий 5.4. „Заявления за подпомагане с инвестиции и дейности, свързани с напояване“.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Cs/>
                <w:i/>
                <w:iCs/>
                <w:sz w:val="24"/>
                <w:szCs w:val="24"/>
              </w:rPr>
              <w:t>13.4. В случай, че заявления за подпомагане имат равен брой точки по посочения в т. 13.3 критерий,</w:t>
            </w:r>
            <w:r w:rsidRPr="00770D6A">
              <w:rPr>
                <w:rFonts w:ascii="Times New Roman" w:hAnsi="Times New Roman" w:cs="Times New Roman"/>
                <w:b/>
                <w:bCs/>
                <w:i/>
                <w:iCs/>
                <w:sz w:val="24"/>
                <w:szCs w:val="24"/>
              </w:rPr>
              <w:t xml:space="preserve"> </w:t>
            </w:r>
            <w:r w:rsidRPr="00770D6A">
              <w:rPr>
                <w:rFonts w:ascii="Times New Roman" w:hAnsi="Times New Roman" w:cs="Times New Roman"/>
                <w:i/>
                <w:iCs/>
                <w:sz w:val="24"/>
                <w:szCs w:val="24"/>
              </w:rPr>
              <w:t xml:space="preserve">същите ще бъдат класирани в низходящ ред съобразно получения брой точки по Приоритет 2 „Заявление за подпомагане, което допринася за надвишаване изискванията за хуманното отношение към животните“.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Cs/>
                <w:i/>
                <w:iCs/>
                <w:sz w:val="24"/>
                <w:szCs w:val="24"/>
              </w:rPr>
              <w:t xml:space="preserve">13.5. </w:t>
            </w:r>
            <w:r w:rsidRPr="00770D6A">
              <w:rPr>
                <w:rFonts w:ascii="Times New Roman" w:hAnsi="Times New Roman" w:cs="Times New Roman"/>
                <w:i/>
                <w:iCs/>
                <w:sz w:val="24"/>
                <w:szCs w:val="24"/>
              </w:rPr>
              <w:t xml:space="preserve">В случай, че заявления за подпомагане имат равен брой точки по посочения в т. 13.4 критерий, същите ще бъдат класирани в низходящ ред съобразно получения брой точки по критерий 3.1. „Заявление за подпомагане, насърчаващо кооперирането и интеграцията между земеделските производители“.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Cs/>
                <w:i/>
                <w:iCs/>
                <w:sz w:val="24"/>
                <w:szCs w:val="24"/>
              </w:rPr>
              <w:t xml:space="preserve">13.6. </w:t>
            </w:r>
            <w:r w:rsidRPr="00770D6A">
              <w:rPr>
                <w:rFonts w:ascii="Times New Roman" w:hAnsi="Times New Roman" w:cs="Times New Roman"/>
                <w:i/>
                <w:iCs/>
                <w:sz w:val="24"/>
                <w:szCs w:val="24"/>
              </w:rPr>
              <w:t xml:space="preserve">В случай, че заявления за подпомагане имат равен брой точки по посочения в т. 13.5 критерий, същите ще бъдат класирани в низходящ ред съобразно получения брой точки по критерий 5.2 „Кандидати на територията на райони с природни и други ограничения“.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13.7 В случай, че заявления за подпомагане имат равен брой точки по посочения в т. 13.6 критерий, същите ще бъдат класирани в низходящ ред съобразно получения брой точки по критерий 4.1 „Финансовото състояние на кандидата обезпечава реализирането на инвестициите“.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13.8. В случай, че заявления за подпомагане имат равен брой точки по посочения в т. 13.7 критерий, същите ще бъдат класирани в низходящ ред съобразно получения брой точки по критерий 1.2 „Заявления за подпомагане, насочени към производство на продукти, обхванати от схеми за качество“.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13.9. В случай, че заявления за подпомагане имат равен брой точки по посочения в т. 13.8 критерий, същите ще бъдат класирани в низходящ ред съобразно получения брой точки по критерий 5.3 „Земеделски стопанин, участващ в системата за земеделска счетоводна информация (СЗСИ) / системата за информация за устойчивостта на земеделските стопанства (СИУЗС)“.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i/>
                <w:iCs/>
                <w:sz w:val="24"/>
                <w:szCs w:val="24"/>
              </w:rPr>
              <w:t xml:space="preserve">13.10. В случай, че заявления за подпомагане имат равен брой точки по посочения в т. 13.9 критерий, същите ще бъдат класирани в низходящ ред съобразно получения брой точки по критерий 5.5 „Кандидати, които не са подпомагани по подмярка 4.1. от ПРСР“.“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Обръщайки внимание</w:t>
            </w:r>
            <w:r w:rsidRPr="00770D6A">
              <w:rPr>
                <w:rFonts w:ascii="Times New Roman" w:hAnsi="Times New Roman" w:cs="Times New Roman"/>
                <w:sz w:val="24"/>
                <w:szCs w:val="24"/>
              </w:rPr>
              <w:t xml:space="preserve">, че йерархията на последователното прилагане на приоритетите при оценка на проекти с равен брой точки, за нас представлява последващо приоритизиране, от което не очакваме да разпознаваме интереси на „най-шумни“ заинтересовани страни и очакваме УО (макар принципната ни позиция е, че Методиките при приемането на критериите за подбор по която и да е интервенция също следва да е част от дискусиите и решенията на Комитета за наблюдение на СПРЗСР) да се придържа към основните принципи на обективност и последователност при прилагане на критериите, така че класирането да отразява реалния принос по интервенцията към постигане на специфичните цели на СПРЗСР.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Предложената от нас последователност при класиране на заявления с еднакъв общ брой точки е логична и обоснована, тъй като </w:t>
            </w:r>
            <w:r w:rsidRPr="00770D6A">
              <w:rPr>
                <w:rFonts w:ascii="Times New Roman" w:hAnsi="Times New Roman" w:cs="Times New Roman"/>
                <w:b/>
                <w:bCs/>
                <w:sz w:val="24"/>
                <w:szCs w:val="24"/>
              </w:rPr>
              <w:t>отразява приоритетите на Стратегическия план</w:t>
            </w:r>
            <w:r w:rsidRPr="00770D6A">
              <w:rPr>
                <w:rFonts w:ascii="Times New Roman" w:hAnsi="Times New Roman" w:cs="Times New Roman"/>
                <w:sz w:val="24"/>
                <w:szCs w:val="24"/>
              </w:rPr>
              <w:t xml:space="preserve">, подредени по тяхната стратегическа значимост. На първо място се поставя подкрепата за </w:t>
            </w:r>
            <w:r w:rsidRPr="00770D6A">
              <w:rPr>
                <w:rFonts w:ascii="Times New Roman" w:hAnsi="Times New Roman" w:cs="Times New Roman"/>
                <w:b/>
                <w:bCs/>
                <w:sz w:val="24"/>
                <w:szCs w:val="24"/>
              </w:rPr>
              <w:t>младите фермери</w:t>
            </w:r>
            <w:r w:rsidRPr="00770D6A">
              <w:rPr>
                <w:rFonts w:ascii="Times New Roman" w:hAnsi="Times New Roman" w:cs="Times New Roman"/>
                <w:sz w:val="24"/>
                <w:szCs w:val="24"/>
              </w:rPr>
              <w:t>, като ключов фактор за поколенческо обновяване в сектора и жизнеспособност на селската икономика (</w:t>
            </w:r>
            <w:hyperlink r:id="rId16" w:history="1">
              <w:r w:rsidRPr="00770D6A">
                <w:rPr>
                  <w:rStyle w:val="Hyperlink"/>
                  <w:rFonts w:ascii="Times New Roman" w:hAnsi="Times New Roman" w:cs="Times New Roman"/>
                  <w:i/>
                  <w:iCs/>
                  <w:sz w:val="24"/>
                  <w:szCs w:val="24"/>
                </w:rPr>
                <w:t>Заместник-министър д-р Лозана Василева: Привличането на нови фермери е ключово за бъдещето на земеделието в България и Европа</w:t>
              </w:r>
            </w:hyperlink>
            <w:r w:rsidRPr="00770D6A">
              <w:rPr>
                <w:rFonts w:ascii="Times New Roman" w:hAnsi="Times New Roman" w:cs="Times New Roman"/>
                <w:sz w:val="24"/>
                <w:szCs w:val="24"/>
              </w:rPr>
              <w:t xml:space="preserve">), изведен като хоризонтален приоритет както по линия на ОСП, така и в националната ни политики за развитие на селските райони във всички програмни периоди. Следва приоритета за </w:t>
            </w:r>
            <w:r w:rsidRPr="00770D6A">
              <w:rPr>
                <w:rFonts w:ascii="Times New Roman" w:hAnsi="Times New Roman" w:cs="Times New Roman"/>
                <w:b/>
                <w:bCs/>
                <w:sz w:val="24"/>
                <w:szCs w:val="24"/>
              </w:rPr>
              <w:t xml:space="preserve">биологично производство </w:t>
            </w:r>
            <w:r w:rsidRPr="00770D6A">
              <w:rPr>
                <w:rFonts w:ascii="Times New Roman" w:hAnsi="Times New Roman" w:cs="Times New Roman"/>
                <w:sz w:val="24"/>
                <w:szCs w:val="24"/>
              </w:rPr>
              <w:t>– в съответствие с целите за устойчиво земеделие и опазване на околната среда и биоразнообразието, както и за постигането на дългосрочните национални цели за увеличаване дела на биологичното производство до 2030 (</w:t>
            </w:r>
            <w:hyperlink r:id="rId17" w:history="1">
              <w:r w:rsidRPr="00770D6A">
                <w:rPr>
                  <w:rStyle w:val="Hyperlink"/>
                  <w:rFonts w:ascii="Times New Roman" w:hAnsi="Times New Roman" w:cs="Times New Roman"/>
                  <w:i/>
                  <w:sz w:val="24"/>
                  <w:szCs w:val="24"/>
                </w:rPr>
                <w:t>Министър Тахов: МЗХ ще продължи да насърчава</w:t>
              </w:r>
            </w:hyperlink>
            <w:r w:rsidRPr="00770D6A">
              <w:rPr>
                <w:rFonts w:ascii="Times New Roman" w:hAnsi="Times New Roman" w:cs="Times New Roman"/>
                <w:i/>
                <w:iCs/>
                <w:sz w:val="24"/>
                <w:szCs w:val="24"/>
              </w:rPr>
              <w:t xml:space="preserve"> ...биоземеделието чрез целенасочени инвестиции и политики</w:t>
            </w:r>
            <w:r w:rsidRPr="00770D6A">
              <w:rPr>
                <w:rFonts w:ascii="Times New Roman" w:hAnsi="Times New Roman" w:cs="Times New Roman"/>
                <w:sz w:val="24"/>
                <w:szCs w:val="24"/>
              </w:rPr>
              <w:t xml:space="preserve">). Следват двата приоритета, които адресират едни от най-сериозните предизвикателства пред секторите растениевъдство и животновъдство – адаптацията към климатичните промени чрез инвестиции в </w:t>
            </w:r>
            <w:r w:rsidRPr="00770D6A">
              <w:rPr>
                <w:rFonts w:ascii="Times New Roman" w:hAnsi="Times New Roman" w:cs="Times New Roman"/>
                <w:b/>
                <w:bCs/>
                <w:sz w:val="24"/>
                <w:szCs w:val="24"/>
              </w:rPr>
              <w:t xml:space="preserve">напояване </w:t>
            </w:r>
            <w:r w:rsidRPr="00770D6A">
              <w:rPr>
                <w:rFonts w:ascii="Times New Roman" w:hAnsi="Times New Roman" w:cs="Times New Roman"/>
                <w:sz w:val="24"/>
                <w:szCs w:val="24"/>
              </w:rPr>
              <w:t xml:space="preserve">и прецизно управление на водните ресурси, както и подобряване на </w:t>
            </w:r>
            <w:r w:rsidRPr="00770D6A">
              <w:rPr>
                <w:rFonts w:ascii="Times New Roman" w:hAnsi="Times New Roman" w:cs="Times New Roman"/>
                <w:b/>
                <w:bCs/>
                <w:sz w:val="24"/>
                <w:szCs w:val="24"/>
              </w:rPr>
              <w:t xml:space="preserve">хуманното отношение </w:t>
            </w:r>
            <w:r w:rsidRPr="00770D6A">
              <w:rPr>
                <w:rFonts w:ascii="Times New Roman" w:hAnsi="Times New Roman" w:cs="Times New Roman"/>
                <w:sz w:val="24"/>
                <w:szCs w:val="24"/>
              </w:rPr>
              <w:t xml:space="preserve">към животните чрез повишени стандарти за отглеждане, превенция на заболявания, мерки за биосигурност и отговор на все по-високите потребителски очаквания. Следващ е приоритетът за </w:t>
            </w:r>
            <w:r w:rsidRPr="00770D6A">
              <w:rPr>
                <w:rFonts w:ascii="Times New Roman" w:hAnsi="Times New Roman" w:cs="Times New Roman"/>
                <w:b/>
                <w:bCs/>
                <w:sz w:val="24"/>
                <w:szCs w:val="24"/>
              </w:rPr>
              <w:t>насърчаване на сътрудничество и обединение между стопани</w:t>
            </w:r>
            <w:r w:rsidRPr="00770D6A">
              <w:rPr>
                <w:rFonts w:ascii="Times New Roman" w:hAnsi="Times New Roman" w:cs="Times New Roman"/>
                <w:sz w:val="24"/>
                <w:szCs w:val="24"/>
              </w:rPr>
              <w:t xml:space="preserve">, който също е от стратегическо значение за повишаване на ефективността, достъпа до пазари и устойчивостта на сектора, но следва по-скоро като организационен, а не производствен приоритет. Следващият важен приоритет е за проекти в </w:t>
            </w:r>
            <w:r w:rsidRPr="00770D6A">
              <w:rPr>
                <w:rFonts w:ascii="Times New Roman" w:hAnsi="Times New Roman" w:cs="Times New Roman"/>
                <w:b/>
                <w:bCs/>
                <w:sz w:val="24"/>
                <w:szCs w:val="24"/>
              </w:rPr>
              <w:t>райони с природни и други ограничения</w:t>
            </w:r>
            <w:r w:rsidRPr="00770D6A">
              <w:rPr>
                <w:rFonts w:ascii="Times New Roman" w:hAnsi="Times New Roman" w:cs="Times New Roman"/>
                <w:sz w:val="24"/>
                <w:szCs w:val="24"/>
              </w:rPr>
              <w:t xml:space="preserve">, тъй като тези територии са изправени пред нарастващи демографски и социално-икономически предизвикателства, а реализацията на инвестиции в тях е по-трудна поради отдалечеността, слабата инфраструктура и ограничената достъпност до пазари и услуги. Предложенията ни по точки 13.7- 13.10. следват йерархичната последователност, избрана от УО.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Приканваме УО да преразгледа йерархията на прилагане на приоритетите при оценката на проекти с равен брой точки по аналогичен на предложения от нас начин и за интервенция II.Г.1.1.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2. Предложения към раздел 13 „Подаване и разглеждане на заявления за подпомагане“ на УК:</w:t>
            </w:r>
          </w:p>
          <w:p w:rsidR="00813D0C" w:rsidRPr="00770D6A" w:rsidRDefault="00813D0C" w:rsidP="00813D0C">
            <w:pPr>
              <w:spacing w:line="276" w:lineRule="auto"/>
              <w:ind w:firstLine="10"/>
              <w:jc w:val="both"/>
              <w:rPr>
                <w:rFonts w:ascii="Times New Roman" w:hAnsi="Times New Roman" w:cs="Times New Roman"/>
                <w:sz w:val="24"/>
                <w:szCs w:val="24"/>
              </w:rPr>
            </w:pPr>
            <w:r w:rsidRPr="00770D6A">
              <w:rPr>
                <w:rFonts w:ascii="Times New Roman" w:hAnsi="Times New Roman" w:cs="Times New Roman"/>
                <w:sz w:val="24"/>
                <w:szCs w:val="24"/>
              </w:rPr>
              <w:t xml:space="preserve">В контекста не неприетото от страна на УО наше предложение да се допусне финансирането на проекти в приоритетен сектор, когато до 25% от площите по бизнес план са не приоритетни, както и с оглед на определеното от УО в раздел на 5 „Бюджет по приема“ на УК разпределение на бюджета за проекти, които са „изцяло“ или „не са изцяло“ насочени към чувствителни сектори, </w:t>
            </w:r>
            <w:r w:rsidRPr="00770D6A">
              <w:rPr>
                <w:rFonts w:ascii="Times New Roman" w:hAnsi="Times New Roman" w:cs="Times New Roman"/>
                <w:b/>
                <w:bCs/>
                <w:sz w:val="24"/>
                <w:szCs w:val="24"/>
              </w:rPr>
              <w:t>предлагаме</w:t>
            </w:r>
            <w:r w:rsidRPr="00770D6A">
              <w:rPr>
                <w:rFonts w:ascii="Times New Roman" w:hAnsi="Times New Roman" w:cs="Times New Roman"/>
                <w:sz w:val="24"/>
                <w:szCs w:val="24"/>
              </w:rPr>
              <w:t>, въз основа на чл.8, ал. 1 от Наредба № 4/2024 г. („</w:t>
            </w:r>
            <w:r w:rsidRPr="00770D6A">
              <w:rPr>
                <w:rFonts w:ascii="Times New Roman" w:hAnsi="Times New Roman" w:cs="Times New Roman"/>
                <w:i/>
                <w:iCs/>
                <w:sz w:val="24"/>
                <w:szCs w:val="24"/>
              </w:rPr>
              <w:t>Кандидатите могат да подават само едно заявление за подпомагане в рамките на срока за подаване на заявления за подпомагане, с изключение на случаите, посочени в условията за кандидатстване.</w:t>
            </w:r>
            <w:r w:rsidRPr="00770D6A">
              <w:rPr>
                <w:rFonts w:ascii="Times New Roman" w:hAnsi="Times New Roman" w:cs="Times New Roman"/>
                <w:sz w:val="24"/>
                <w:szCs w:val="24"/>
              </w:rPr>
              <w:t xml:space="preserve">“), </w:t>
            </w:r>
            <w:r w:rsidRPr="00770D6A">
              <w:rPr>
                <w:rFonts w:ascii="Times New Roman" w:hAnsi="Times New Roman" w:cs="Times New Roman"/>
                <w:b/>
                <w:bCs/>
                <w:sz w:val="24"/>
                <w:szCs w:val="24"/>
              </w:rPr>
              <w:t xml:space="preserve">предстоящият прием да се организира по начин, позволяващ на смесените стопанства да подават две заявления: </w:t>
            </w:r>
          </w:p>
          <w:p w:rsidR="00813D0C" w:rsidRPr="00770D6A" w:rsidRDefault="00813D0C" w:rsidP="00813D0C">
            <w:pPr>
              <w:pStyle w:val="ListParagraph"/>
              <w:numPr>
                <w:ilvl w:val="0"/>
                <w:numId w:val="49"/>
              </w:numPr>
              <w:spacing w:line="276" w:lineRule="auto"/>
              <w:ind w:left="0" w:firstLine="10"/>
              <w:jc w:val="both"/>
              <w:rPr>
                <w:rFonts w:ascii="Times New Roman" w:hAnsi="Times New Roman"/>
                <w:sz w:val="24"/>
                <w:szCs w:val="24"/>
              </w:rPr>
            </w:pPr>
            <w:r w:rsidRPr="00770D6A">
              <w:rPr>
                <w:rFonts w:ascii="Times New Roman" w:hAnsi="Times New Roman"/>
                <w:sz w:val="24"/>
                <w:szCs w:val="24"/>
              </w:rPr>
              <w:t xml:space="preserve">едно заявление по бюджета по т. 1.1 (за „изцяло“) за дейността си в приоритетен сектор и </w:t>
            </w:r>
          </w:p>
          <w:p w:rsidR="00813D0C" w:rsidRPr="00770D6A" w:rsidRDefault="00813D0C" w:rsidP="00813D0C">
            <w:pPr>
              <w:pStyle w:val="ListParagraph"/>
              <w:numPr>
                <w:ilvl w:val="0"/>
                <w:numId w:val="49"/>
              </w:numPr>
              <w:spacing w:line="276" w:lineRule="auto"/>
              <w:ind w:left="0" w:firstLine="10"/>
              <w:jc w:val="both"/>
              <w:rPr>
                <w:rFonts w:ascii="Times New Roman" w:hAnsi="Times New Roman"/>
                <w:sz w:val="24"/>
                <w:szCs w:val="24"/>
              </w:rPr>
            </w:pPr>
            <w:r w:rsidRPr="00770D6A">
              <w:rPr>
                <w:rFonts w:ascii="Times New Roman" w:hAnsi="Times New Roman"/>
                <w:sz w:val="24"/>
                <w:szCs w:val="24"/>
              </w:rPr>
              <w:t xml:space="preserve">едно заявление по бюджета по т.1.2 (за „не са изцяло“) за дейността си извън приоритетен сектор.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Това предполага редакция на т. 3 от раздел 13 („3. </w:t>
            </w:r>
            <w:r w:rsidRPr="00770D6A">
              <w:rPr>
                <w:rFonts w:ascii="Times New Roman" w:hAnsi="Times New Roman" w:cs="Times New Roman"/>
                <w:i/>
                <w:iCs/>
                <w:sz w:val="24"/>
                <w:szCs w:val="24"/>
              </w:rPr>
              <w:t>Кандидатите могат да подават само едно заявление за подпомагане в рамките на срока за подаване на заявления за подпомагане</w:t>
            </w:r>
            <w:r w:rsidRPr="00770D6A">
              <w:rPr>
                <w:rFonts w:ascii="Times New Roman" w:hAnsi="Times New Roman" w:cs="Times New Roman"/>
                <w:sz w:val="24"/>
                <w:szCs w:val="24"/>
              </w:rPr>
              <w:t xml:space="preserve">.“) и преглед на цялостният пакет Насоки по подготвяния прие ПРИЕМ № II/Г/1/0/1.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практиката на селското стопанство малко ферми са изцяло специализирани само в приоритетни култури или животни. За да поддържат устойчивост и да управляват по-добре риска, голяма част от тях комбинират различни култури и дейности. Насоките не отразяват тази специфика, а допускането на възможност за подаване на две заявления от смесените стопанства ще осигури тяхната равнопоставеност и ще постигне по-реалистично отразяване на структурата на българското земеделие, където вертикалната и хоризонталната интеграция на дейности е често срещана практика. Това е балансиран подход, който съчетава необходимата гъвкавост с ясния приоритет към стратегически важните сектори.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Идентично е предложението ни и съображенията по отношение на интервенция II.Г.1.1.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3. Предложения към Приложение № 10 „Списъци по Приоритет 2“ от раздел 15 „Приложения“ на УК:</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3.1 По отношение на сектор „птици“: </w:t>
            </w:r>
          </w:p>
          <w:p w:rsidR="00813D0C" w:rsidRPr="00770D6A" w:rsidRDefault="00813D0C" w:rsidP="00813D0C">
            <w:pPr>
              <w:pStyle w:val="ListParagraph"/>
              <w:numPr>
                <w:ilvl w:val="0"/>
                <w:numId w:val="49"/>
              </w:numPr>
              <w:tabs>
                <w:tab w:val="clear" w:pos="720"/>
              </w:tabs>
              <w:spacing w:line="276" w:lineRule="auto"/>
              <w:ind w:left="10" w:hanging="10"/>
              <w:jc w:val="both"/>
              <w:rPr>
                <w:rFonts w:ascii="Times New Roman" w:hAnsi="Times New Roman"/>
                <w:sz w:val="24"/>
                <w:szCs w:val="24"/>
              </w:rPr>
            </w:pPr>
            <w:r w:rsidRPr="00770D6A">
              <w:rPr>
                <w:rFonts w:ascii="Times New Roman" w:hAnsi="Times New Roman"/>
                <w:sz w:val="24"/>
                <w:szCs w:val="24"/>
              </w:rPr>
              <w:t xml:space="preserve">Не е предвидена изрична допустимост на съвременните европейски </w:t>
            </w:r>
            <w:r w:rsidRPr="00770D6A">
              <w:rPr>
                <w:rFonts w:ascii="Times New Roman" w:hAnsi="Times New Roman"/>
                <w:b/>
                <w:bCs/>
                <w:sz w:val="24"/>
                <w:szCs w:val="24"/>
              </w:rPr>
              <w:t>волиерни системи (aviary systems)</w:t>
            </w:r>
            <w:r w:rsidRPr="00770D6A">
              <w:rPr>
                <w:rFonts w:ascii="Times New Roman" w:hAnsi="Times New Roman"/>
                <w:sz w:val="24"/>
                <w:szCs w:val="24"/>
              </w:rPr>
              <w:t xml:space="preserve">, които представляват водещ стандарт в ЕС за подобряване на условията на отглеждане. </w:t>
            </w:r>
          </w:p>
          <w:p w:rsidR="00813D0C" w:rsidRPr="00770D6A" w:rsidRDefault="00813D0C" w:rsidP="00813D0C">
            <w:pPr>
              <w:pStyle w:val="ListParagraph"/>
              <w:numPr>
                <w:ilvl w:val="0"/>
                <w:numId w:val="49"/>
              </w:numPr>
              <w:tabs>
                <w:tab w:val="clear" w:pos="720"/>
              </w:tabs>
              <w:spacing w:line="276" w:lineRule="auto"/>
              <w:ind w:left="10" w:hanging="10"/>
              <w:jc w:val="both"/>
              <w:rPr>
                <w:rFonts w:ascii="Times New Roman" w:hAnsi="Times New Roman"/>
                <w:sz w:val="24"/>
                <w:szCs w:val="24"/>
              </w:rPr>
            </w:pPr>
            <w:r w:rsidRPr="00770D6A">
              <w:rPr>
                <w:rFonts w:ascii="Times New Roman" w:hAnsi="Times New Roman"/>
                <w:sz w:val="24"/>
                <w:szCs w:val="24"/>
              </w:rPr>
              <w:t xml:space="preserve">Настоящият обхват на Приложение № 10, който се ограничава до препращане към Наредба № 25 от 14.12.2005 г., транспонираща Директива 1999/74/ЕО, е непълен и дискриминационен, тъй като </w:t>
            </w:r>
            <w:r w:rsidRPr="00770D6A">
              <w:rPr>
                <w:rFonts w:ascii="Times New Roman" w:hAnsi="Times New Roman"/>
                <w:b/>
                <w:bCs/>
                <w:sz w:val="24"/>
                <w:szCs w:val="24"/>
              </w:rPr>
              <w:t xml:space="preserve">изключва други икономически значими видове птици </w:t>
            </w:r>
            <w:r w:rsidRPr="00770D6A">
              <w:rPr>
                <w:rFonts w:ascii="Times New Roman" w:hAnsi="Times New Roman"/>
                <w:sz w:val="24"/>
                <w:szCs w:val="24"/>
              </w:rPr>
              <w:t xml:space="preserve">– родителски стада, подрастващи и водоплаващи видове. </w:t>
            </w:r>
          </w:p>
          <w:p w:rsidR="00813D0C" w:rsidRPr="00770D6A" w:rsidRDefault="00813D0C" w:rsidP="00813D0C">
            <w:pPr>
              <w:pStyle w:val="ListParagraph"/>
              <w:numPr>
                <w:ilvl w:val="0"/>
                <w:numId w:val="49"/>
              </w:numPr>
              <w:tabs>
                <w:tab w:val="clear" w:pos="720"/>
              </w:tabs>
              <w:spacing w:line="276" w:lineRule="auto"/>
              <w:ind w:left="10" w:hanging="10"/>
              <w:jc w:val="both"/>
              <w:rPr>
                <w:rFonts w:ascii="Times New Roman" w:hAnsi="Times New Roman"/>
                <w:sz w:val="24"/>
                <w:szCs w:val="24"/>
              </w:rPr>
            </w:pPr>
            <w:r w:rsidRPr="00770D6A">
              <w:rPr>
                <w:rFonts w:ascii="Times New Roman" w:hAnsi="Times New Roman"/>
                <w:sz w:val="24"/>
                <w:szCs w:val="24"/>
              </w:rPr>
              <w:t xml:space="preserve">Съществен пропуск е и липсата на възможност за финансиране на </w:t>
            </w:r>
            <w:r w:rsidRPr="00770D6A">
              <w:rPr>
                <w:rFonts w:ascii="Times New Roman" w:hAnsi="Times New Roman"/>
                <w:b/>
                <w:bCs/>
                <w:sz w:val="24"/>
                <w:szCs w:val="24"/>
              </w:rPr>
              <w:t>инвестиции в хуманен транспорт на животни</w:t>
            </w:r>
            <w:r w:rsidRPr="00770D6A">
              <w:rPr>
                <w:rFonts w:ascii="Times New Roman" w:hAnsi="Times New Roman"/>
                <w:sz w:val="24"/>
                <w:szCs w:val="24"/>
              </w:rPr>
              <w:t xml:space="preserve">. Настоящият текст допуска единствено транспорт и монтаж на оборудване в рамките на стопанството, без възможност за подпомагане на закупуване или преустройство на специализирани транспортни средства, което е в противоречие с Регламент (ЕО) № 1/2005. </w:t>
            </w:r>
          </w:p>
          <w:p w:rsidR="00813D0C" w:rsidRPr="00770D6A" w:rsidRDefault="00813D0C" w:rsidP="00813D0C">
            <w:pPr>
              <w:pStyle w:val="ListParagraph"/>
              <w:numPr>
                <w:ilvl w:val="0"/>
                <w:numId w:val="49"/>
              </w:numPr>
              <w:tabs>
                <w:tab w:val="clear" w:pos="720"/>
              </w:tabs>
              <w:spacing w:line="276" w:lineRule="auto"/>
              <w:ind w:left="10" w:hanging="10"/>
              <w:jc w:val="both"/>
              <w:rPr>
                <w:rFonts w:ascii="Times New Roman" w:hAnsi="Times New Roman"/>
                <w:sz w:val="24"/>
                <w:szCs w:val="24"/>
              </w:rPr>
            </w:pPr>
            <w:r w:rsidRPr="00770D6A">
              <w:rPr>
                <w:rFonts w:ascii="Times New Roman" w:hAnsi="Times New Roman"/>
                <w:sz w:val="24"/>
                <w:szCs w:val="24"/>
              </w:rPr>
              <w:t xml:space="preserve">С оглед на изискванията на Регламент (ЕС) 2016/429, е </w:t>
            </w:r>
            <w:r w:rsidRPr="00770D6A">
              <w:rPr>
                <w:rFonts w:ascii="Times New Roman" w:hAnsi="Times New Roman"/>
                <w:b/>
                <w:bCs/>
                <w:sz w:val="24"/>
                <w:szCs w:val="24"/>
              </w:rPr>
              <w:t xml:space="preserve">необходимо разширяване </w:t>
            </w:r>
            <w:r w:rsidRPr="00770D6A">
              <w:rPr>
                <w:rFonts w:ascii="Times New Roman" w:hAnsi="Times New Roman"/>
                <w:sz w:val="24"/>
                <w:szCs w:val="24"/>
              </w:rPr>
              <w:t xml:space="preserve">на допустимите инвестиции чрез включване на: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системи за пречистване и UV-филтриране на водата;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автоматизирани системи за прецизно хранене;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инфраструктура за наблюдение на здравния статус на животните.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Предложените допълнения са в съответствие с актуалните европейски практики и ще осигурят реален напредък в прилагането на по-високи стандарти за хуманно отношение и биосигурност.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 xml:space="preserve">3.2 По отношение на сектор „свине“: </w:t>
            </w:r>
          </w:p>
          <w:p w:rsidR="00813D0C" w:rsidRPr="00770D6A" w:rsidRDefault="00813D0C" w:rsidP="00813D0C">
            <w:pPr>
              <w:pStyle w:val="ListParagraph"/>
              <w:numPr>
                <w:ilvl w:val="0"/>
                <w:numId w:val="49"/>
              </w:numPr>
              <w:spacing w:line="276" w:lineRule="auto"/>
              <w:ind w:left="0" w:firstLine="0"/>
              <w:jc w:val="both"/>
              <w:rPr>
                <w:rFonts w:ascii="Times New Roman" w:hAnsi="Times New Roman"/>
                <w:sz w:val="24"/>
                <w:szCs w:val="24"/>
              </w:rPr>
            </w:pPr>
            <w:r w:rsidRPr="00770D6A">
              <w:rPr>
                <w:rFonts w:ascii="Times New Roman" w:hAnsi="Times New Roman"/>
                <w:sz w:val="24"/>
                <w:szCs w:val="24"/>
              </w:rPr>
              <w:t xml:space="preserve">В Приложение № 10 не са предвидени конкретни инвестиционни възможности, насочени към надграждане на действащите стандарти в сектор „свиневъдство“, както и мерки, свързани с </w:t>
            </w:r>
            <w:r w:rsidRPr="00770D6A">
              <w:rPr>
                <w:rFonts w:ascii="Times New Roman" w:hAnsi="Times New Roman"/>
                <w:b/>
                <w:bCs/>
                <w:sz w:val="24"/>
                <w:szCs w:val="24"/>
              </w:rPr>
              <w:t>биосигурността и устойчивостта</w:t>
            </w:r>
            <w:r w:rsidRPr="00770D6A">
              <w:rPr>
                <w:rFonts w:ascii="Times New Roman" w:hAnsi="Times New Roman"/>
                <w:sz w:val="24"/>
                <w:szCs w:val="24"/>
              </w:rPr>
              <w:t xml:space="preserve">. Липсва ясно дефиниране на допустимите технологии, които реално подобряват условията на живот на животните. Секторът е един от най-чувствителните по отношение на епизоотичен риск, особено предвид опита на страната с Африканската чума по свинете (АЧС). Поради това считаме, че мерките за биосигурност трябва задължително да бъдат включени сред допустимите инвестиции.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съответствие с Регламент (ЕС) 2016/429 и Ръководството на Европейския орган за безопасност на храните (EFSA) за превенция на АЧС, допустими следва да бъдат инвестиции, насочени към: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автоматизирани системи за дезинфекция и контрол на достъпа;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инфраструктура за съхранение и третиране на отпадъци;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системи за пречистване и UV-дезинфекция на водата;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енергийно ефективни решения за вентилация, отопление и охлаждане;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 технологии за мониторинг на здравния статус и поведението на животните.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Изключването на тези инвестиции ограничава ефективността на интервенцията и противоречи на целите на Регламент (ЕС) 2021/2115 и на Националната програма за контрол на АЧС. </w:t>
            </w:r>
          </w:p>
          <w:p w:rsidR="00813D0C" w:rsidRPr="00770D6A" w:rsidRDefault="00813D0C" w:rsidP="00813D0C">
            <w:pPr>
              <w:pStyle w:val="ListParagraph"/>
              <w:numPr>
                <w:ilvl w:val="0"/>
                <w:numId w:val="49"/>
              </w:numPr>
              <w:spacing w:line="276" w:lineRule="auto"/>
              <w:ind w:left="0" w:firstLine="0"/>
              <w:jc w:val="both"/>
              <w:rPr>
                <w:rFonts w:ascii="Times New Roman" w:hAnsi="Times New Roman"/>
                <w:sz w:val="24"/>
                <w:szCs w:val="24"/>
              </w:rPr>
            </w:pPr>
            <w:r w:rsidRPr="00770D6A">
              <w:rPr>
                <w:rFonts w:ascii="Times New Roman" w:hAnsi="Times New Roman"/>
                <w:b/>
                <w:bCs/>
                <w:sz w:val="24"/>
                <w:szCs w:val="24"/>
              </w:rPr>
              <w:t>Съществен проблем е и ограничаването на допустимите инвестиции само до определени категории животни, като свине-майки</w:t>
            </w:r>
            <w:r w:rsidRPr="00770D6A">
              <w:rPr>
                <w:rFonts w:ascii="Times New Roman" w:hAnsi="Times New Roman"/>
                <w:sz w:val="24"/>
                <w:szCs w:val="24"/>
              </w:rPr>
              <w:t xml:space="preserve">. Съвременното свиневъдство функционира като интегрирана система, в която всички производствени групи – прасета за угояване, подрастващи, свине майки и нерези – имат взаимосвързана роля. Подкрепата само за една от тези категории би изкривила инвестиционния процес и би ограничила конкурентоспособността на стопанствата с пълен цикъл на производство. Директива 2008/120/ЕО и Стратегията на Европейската комисия „От фермата до трапезата“ поставят акцент върху прилагането на високи стандарти за хуманно отношение към всички категории свине, а не само към определени групи. Ограничаването само до репродуктивните животни противоречи и на целите на СПРЗСР 2023–2027, които предвиждат подобряване на условията на отглеждане и намаляване на въздействието върху околната среда във всички подсектори на животновъдството. </w:t>
            </w:r>
          </w:p>
          <w:p w:rsidR="00813D0C" w:rsidRPr="00770D6A" w:rsidRDefault="00813D0C" w:rsidP="00813D0C">
            <w:pPr>
              <w:pStyle w:val="ListParagraph"/>
              <w:numPr>
                <w:ilvl w:val="0"/>
                <w:numId w:val="49"/>
              </w:numPr>
              <w:spacing w:line="276" w:lineRule="auto"/>
              <w:ind w:left="0" w:firstLine="0"/>
              <w:jc w:val="both"/>
              <w:rPr>
                <w:rFonts w:ascii="Times New Roman" w:hAnsi="Times New Roman"/>
                <w:sz w:val="24"/>
                <w:szCs w:val="24"/>
              </w:rPr>
            </w:pPr>
            <w:r w:rsidRPr="00770D6A">
              <w:rPr>
                <w:rFonts w:ascii="Times New Roman" w:hAnsi="Times New Roman"/>
                <w:sz w:val="24"/>
                <w:szCs w:val="24"/>
              </w:rPr>
              <w:t xml:space="preserve">Следва да се отчете и необходимостта от </w:t>
            </w:r>
            <w:r w:rsidRPr="00770D6A">
              <w:rPr>
                <w:rFonts w:ascii="Times New Roman" w:hAnsi="Times New Roman"/>
                <w:b/>
                <w:bCs/>
                <w:sz w:val="24"/>
                <w:szCs w:val="24"/>
              </w:rPr>
              <w:t>равнопоставеност между стопанствата</w:t>
            </w:r>
            <w:r w:rsidRPr="00770D6A">
              <w:rPr>
                <w:rFonts w:ascii="Times New Roman" w:hAnsi="Times New Roman"/>
                <w:sz w:val="24"/>
                <w:szCs w:val="24"/>
              </w:rPr>
              <w:t xml:space="preserve">, тъй като в България съществуват както ферми с пълен производствен цикъл, така и специализирани стопанства за угояване. Изключването на последните от възможност за подпомагане би довело до неравнопоставеност и по-ниска ефективност на мярката като инструмент за устойчиво развитие.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sz w:val="24"/>
                <w:szCs w:val="24"/>
              </w:rPr>
              <w:t>4. Предложение за организиране и провеждане на онлайн среща с организации от сектор „свине“, „птици“ и „говеда“ за своевременно обсъждане, прецизиране и финализиране на Приложение 10 от УК.</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коментарите и предложенията по т. 3 предлагаме на УО да насрочи своевременно онлайн среща с организациите от сектор „свине“, „птици“ и „говеда“ с цел финално изясняване и съвместно прецизиране на обхвата на Приложение № 10 „Списъци по Приоритет 2“ така, че да се постигне пълно съответствие с националното и европейското законодателство в областта на хуманното отношение към животните. Прецизирането на допустимите инвестиции ще позволи насочването на средствата към модерни технологии и решения с дългосрочен ефект, ще премахне съществуващите неясноти и ще осигури равнопоставеност между различните производствени направления. Това е предпоставка за по-ефективно прилагане на интервенциите и за постигане на стратегическите цели на СПРЗСР 2023–2027 в сектор „Животновъдство“.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 xml:space="preserve">С уважение, </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bCs/>
                <w:i/>
                <w:iCs/>
                <w:sz w:val="24"/>
                <w:szCs w:val="24"/>
              </w:rPr>
              <w:t>АЗПБ</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1.1.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и тяхната тежест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1.2.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Допълнителното класиране на заявления за подпомагане с еднакъв брой точки е разглеждано на заседание на Тематична работна група на 14.08.2025 г. и е прието на заседание на Комитета за наблюдение на СПРЗСР на 3-4 септември 2025 г. Както е решено в КН, допълнителното класиране се извършва според тежестта на критериите за оценка в низходящ ред.</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2.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Следва да се има предвид, че в подбюжета по т. 1.2 от Раздел 5 от Условията за кандидатстване визираните във Вашето предложение </w:t>
            </w:r>
            <w:r w:rsidRPr="00770D6A">
              <w:rPr>
                <w:rFonts w:ascii="Times New Roman" w:hAnsi="Times New Roman" w:cs="Times New Roman"/>
                <w:i/>
                <w:sz w:val="24"/>
                <w:szCs w:val="24"/>
              </w:rPr>
              <w:t>„смесени стопанства“</w:t>
            </w:r>
            <w:r w:rsidRPr="00770D6A">
              <w:rPr>
                <w:rFonts w:ascii="Times New Roman" w:hAnsi="Times New Roman" w:cs="Times New Roman"/>
                <w:sz w:val="24"/>
                <w:szCs w:val="24"/>
              </w:rPr>
              <w:t xml:space="preserve"> имат възможност да подадат заявление за подпомагане едновременно за инвестиции извън чувствителните сектори и за инвестиции за отглеждане на култури/животни от чувствителните сектори. Предложението значително увеличава административната тежест за кандидата.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 xml:space="preserve">3. </w:t>
            </w:r>
            <w:r w:rsidR="005A6C4A">
              <w:rPr>
                <w:rFonts w:ascii="Times New Roman" w:hAnsi="Times New Roman" w:cs="Times New Roman"/>
                <w:b/>
                <w:sz w:val="24"/>
                <w:szCs w:val="24"/>
              </w:rPr>
              <w:t>Предложението не се отнася към настоящата процедура</w:t>
            </w:r>
            <w:r w:rsidRPr="00770D6A">
              <w:rPr>
                <w:rFonts w:ascii="Times New Roman" w:hAnsi="Times New Roman" w:cs="Times New Roman"/>
                <w:b/>
                <w:sz w:val="24"/>
                <w:szCs w:val="24"/>
              </w:rPr>
              <w:t>.</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Default="00813D0C"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Default="005A6C4A" w:rsidP="00813D0C">
            <w:pPr>
              <w:spacing w:line="276" w:lineRule="auto"/>
              <w:jc w:val="both"/>
              <w:rPr>
                <w:rFonts w:ascii="Times New Roman" w:hAnsi="Times New Roman" w:cs="Times New Roman"/>
                <w:sz w:val="24"/>
                <w:szCs w:val="24"/>
              </w:rPr>
            </w:pPr>
          </w:p>
          <w:p w:rsidR="005A6C4A" w:rsidRPr="00770D6A" w:rsidRDefault="005A6C4A"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b/>
                <w:sz w:val="24"/>
                <w:szCs w:val="24"/>
              </w:rPr>
              <w:t xml:space="preserve">4. </w:t>
            </w:r>
            <w:r w:rsidR="005A6C4A" w:rsidRPr="005A6C4A">
              <w:rPr>
                <w:rFonts w:ascii="Times New Roman" w:hAnsi="Times New Roman" w:cs="Times New Roman"/>
                <w:b/>
                <w:sz w:val="24"/>
                <w:szCs w:val="24"/>
              </w:rPr>
              <w:t>Предложението не се отнася към настоящата процедура.</w:t>
            </w:r>
          </w:p>
        </w:tc>
      </w:tr>
      <w:tr w:rsidR="00813D0C" w:rsidRPr="00770D6A" w:rsidTr="00ED5BBF">
        <w:trPr>
          <w:trHeight w:val="70"/>
        </w:trPr>
        <w:tc>
          <w:tcPr>
            <w:tcW w:w="567" w:type="dxa"/>
            <w:shd w:val="clear" w:color="auto" w:fill="auto"/>
          </w:tcPr>
          <w:p w:rsidR="00813D0C" w:rsidRPr="001C1239" w:rsidRDefault="007824BD"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17</w:t>
            </w:r>
            <w:r w:rsidR="00813D0C" w:rsidRPr="001C1239">
              <w:rPr>
                <w:rFonts w:ascii="Times New Roman" w:hAnsi="Times New Roman" w:cs="Times New Roman"/>
                <w:sz w:val="24"/>
                <w:szCs w:val="24"/>
              </w:rPr>
              <w:t>.</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Б. Веселинова</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19:41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Предложения:</w:t>
            </w:r>
          </w:p>
          <w:p w:rsidR="00813D0C" w:rsidRPr="00770D6A" w:rsidRDefault="00813D0C" w:rsidP="00813D0C">
            <w:pPr>
              <w:numPr>
                <w:ilvl w:val="0"/>
                <w:numId w:val="50"/>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отпадне от документите за плащане изискването за предоставяне на платежно за застраховки.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Застраховките не са част от изискуемите документи към исканията за плащане.</w:t>
            </w:r>
          </w:p>
          <w:p w:rsidR="00813D0C" w:rsidRPr="00770D6A" w:rsidRDefault="00813D0C" w:rsidP="00813D0C">
            <w:pPr>
              <w:numPr>
                <w:ilvl w:val="0"/>
                <w:numId w:val="51"/>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има ясна дефиниция на понятието „прогнозна година“ – дали се отнася за период след частично изпълнение, пълно изпълнение или след изплащане на помощта.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Липсата на точна дефиниция води до нееднакво тълкуване от кандидатите и експертите, което създава несъответствия в бизнес плановете и финансовите анализи. Яснотата ще осигури еднакво прилагане на правилата и ще предотврати последващи забележки при оценка и контрол.</w:t>
            </w:r>
          </w:p>
          <w:p w:rsidR="00813D0C" w:rsidRPr="00770D6A" w:rsidRDefault="00813D0C" w:rsidP="00813D0C">
            <w:pPr>
              <w:numPr>
                <w:ilvl w:val="0"/>
                <w:numId w:val="52"/>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отпадне изискването за включване на „предходната година“ в бизнес плана.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Данните от предходната година не влияят на финансовите показатели, които са обект на оценка, а само натоварват документацията. Тази информация няма аналитична стойност за прогнозния период и може да се изключи без риск за целостта на финансовия анализ.</w:t>
            </w:r>
          </w:p>
          <w:p w:rsidR="00813D0C" w:rsidRPr="00770D6A" w:rsidRDefault="00813D0C" w:rsidP="00813D0C">
            <w:pPr>
              <w:numPr>
                <w:ilvl w:val="0"/>
                <w:numId w:val="53"/>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Банковите извлечения да не се изисква да бъдат заверявани от банката.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Всички електронни банкови извлечения съдържат уникален референтен номер и са официален документ, признат от НАП и БНБ. Заверяването от банка е ненужно дублиране, което затруднява и оскъпява процеса.</w:t>
            </w:r>
          </w:p>
          <w:p w:rsidR="00813D0C" w:rsidRPr="00770D6A" w:rsidRDefault="00813D0C" w:rsidP="00813D0C">
            <w:pPr>
              <w:numPr>
                <w:ilvl w:val="0"/>
                <w:numId w:val="54"/>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се коригира формулярът на справката в Excel към декларацията за ЗМСП – при добавяне на допълнителни редове (например при повече от 5 свързани предприятия) системата да позволява въвеждане на данни в оранжевите полета.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В момента техническото ограничение прави невъзможно въвеждането на пълните данни, което може да доведе до непълна декларация и грешки при подаване. Промяната ще осигури пълнота и коректност на информацията.</w:t>
            </w:r>
          </w:p>
          <w:p w:rsidR="00813D0C" w:rsidRPr="00770D6A" w:rsidRDefault="00813D0C" w:rsidP="00813D0C">
            <w:pPr>
              <w:numPr>
                <w:ilvl w:val="0"/>
                <w:numId w:val="55"/>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В таблицата на разходите, която се прави при отчитане на проектите, в падащото меню на застрахователите, да се промени „Медика 21“ на „Застрахователна компания Аксиом АД“.</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Посоченото наименование не съответства на актуалната регистрация на дружеството в Търговския регистър. Корекцията ще предотврати грешки при избор на контрагент и ще осигури точност на данните.</w:t>
            </w:r>
          </w:p>
          <w:p w:rsidR="00813D0C" w:rsidRPr="00770D6A" w:rsidRDefault="00813D0C" w:rsidP="00813D0C">
            <w:pPr>
              <w:numPr>
                <w:ilvl w:val="0"/>
                <w:numId w:val="56"/>
              </w:numPr>
              <w:tabs>
                <w:tab w:val="clear" w:pos="720"/>
              </w:tabs>
              <w:spacing w:line="276" w:lineRule="auto"/>
              <w:ind w:left="0" w:firstLine="0"/>
              <w:jc w:val="both"/>
              <w:rPr>
                <w:rFonts w:ascii="Times New Roman" w:hAnsi="Times New Roman" w:cs="Times New Roman"/>
                <w:sz w:val="24"/>
                <w:szCs w:val="24"/>
              </w:rPr>
            </w:pPr>
            <w:r w:rsidRPr="00770D6A">
              <w:rPr>
                <w:rFonts w:ascii="Times New Roman" w:hAnsi="Times New Roman" w:cs="Times New Roman"/>
                <w:b/>
                <w:bCs/>
                <w:sz w:val="24"/>
                <w:szCs w:val="24"/>
              </w:rPr>
              <w:t>Да се оправи поредността на инвестициите, при въвеждане в СЕУ – първият ред, който се попълва, да стои най-отгоре, а не да отива най-отдолу.</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Обосновка: Настоящата подредба затруднява проследяването и проверката на въведените инвестиции. Логично е първият попълнен ред да бъде най-горе в списъка, за да се запази последователността и да се избегнат грешки при въвеждане и преглед на информацията.</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2.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3. Приема се.</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 оглед облекчаване на изискванията към бенефициентите, е заложено условие, в случай на  представени платежни нареждания от система за електронно банкиране, същите не следва да бъдат заверени от банка.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4.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Образецът на Декларация по чл. 4а, ал. 1 от ЗМСП (Приложение № 11) е утвърден от министъра на икономиката.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5.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Посоченият документ не е част от Насоките за кандидатстване по приема.</w:t>
            </w: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6. Приема се по принцип.</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При техническа възможност ще бъде реализирано.</w:t>
            </w:r>
          </w:p>
        </w:tc>
      </w:tr>
      <w:tr w:rsidR="00813D0C" w:rsidRPr="00770D6A" w:rsidTr="00ED5BBF">
        <w:trPr>
          <w:trHeight w:val="70"/>
        </w:trPr>
        <w:tc>
          <w:tcPr>
            <w:tcW w:w="567" w:type="dxa"/>
            <w:shd w:val="clear" w:color="auto" w:fill="auto"/>
          </w:tcPr>
          <w:p w:rsidR="00813D0C" w:rsidRPr="001C1239" w:rsidRDefault="007824BD"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18</w:t>
            </w:r>
            <w:r w:rsidR="00813D0C" w:rsidRPr="001C1239">
              <w:rPr>
                <w:rFonts w:ascii="Times New Roman" w:hAnsi="Times New Roman" w:cs="Times New Roman"/>
                <w:sz w:val="24"/>
                <w:szCs w:val="24"/>
              </w:rPr>
              <w:t>.</w:t>
            </w:r>
          </w:p>
        </w:tc>
        <w:tc>
          <w:tcPr>
            <w:tcW w:w="1559" w:type="dxa"/>
            <w:shd w:val="clear" w:color="auto" w:fill="auto"/>
          </w:tcPr>
          <w:p w:rsidR="00813D0C" w:rsidRPr="001C1239"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СБПБ</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22:59</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От името на СДРУЖЕНИЕ НА БЪЛГАРСКИТЕ ПРОИЗВОДИТЕЛИ НА БИОПРОДУКТИ /СБПБ/ представям предложение с малко допълнение в частта: II.Г.1 - ИНВЕСТИЦИИ В ЗЕМЕДЕЛСКИТЕ СТОПАНСТВА ПРИЕМ № II/Г/1/0/1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7.1. Критерии за допустимост на кандидатите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Кандидатите земеделски стопани към датата на подаване на заявлението за подпомагане трябва да отговарят на следните условия: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1.1. да са физически лица или да са юридически лица, регистрирани по Търговския закон или Закона за кооперациите, Закона за вероизповеданията или създадени по Закона за Селскостопанската академия.;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 да са регистрирани като земеделски стопани по реда на Закона за подпомагане на земеделските производители от най – малко 24 месеца преди кандидатстването за подпомагане и да не са прекратявали своята дейност в този период; Предлагаме да се добави: „с изключение на бенефициерите(кандидатите) по II.Д.1и Д2“</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Както и в частта: II.Г.1.1 - ИНВЕСТИЦИИ В ЗЕМЕДЕЛСКИТЕ СТОПАНСТВА НАСОЧЕНИ КЪМ ОПАЗВАНЕ НА КОМПОНЕНТИТЕ НА ОКОЛНАТА СРЕДА ПРИЕМ № II/Г/1/1/1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7.1. Критерии за допустимост на кандидатите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 Кандидатите земеделски стопани към датата на подаване на заявлението за подпомагане трябва да отговарят на следните условия: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1.1. да са физически лица или да са юридически лица, регистрирани по Търговския закон или Закона за кооперациите, Закона за вероизповеданията или създадени по Закона за Селскостопанската академия;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1.2. да са регистрирани като земеделски стопани по реда на Закона за подпомагане на земеделските производители от най – малко 24 месеца преди кандидатстването за подпомагане и да не са прекратявали своята дейност в този период; Предлагаме да се добави: „с изключение на бенефициерите(кандидатите) по II.Д.1 и Д.2“</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Кратки мотиви за горните допълнения:</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Навсякъде в СП(стратегическият план) е записано, а и постоянно се дакларира от управляващите и администрацията, че приоритет са Младите Земеделски Стопани, а тук автоматично се изключва цяла една група, за която по друга Интервенция е заложено ограничение кандидатите да не са регистрирани като Земеделски Стопани повече от 24 месеца. Ето защо смятам за справедливо, а и е звучи като уточнение да се включи това допълнение: „с изключение на бенефициерите (кандидатите) по II.Д.1 и Д.2“</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И по двете позиции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II.Г.1 - Инвестиции в земеделските стопанства;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II.Г.1.1. - Инвестиции в земеделските стопанства насочени към опазване на компонентите на околната среда,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Което да се отнася само и единственно за кандидатите по Интервенция II.Д.1 и Д2 когато става дума за Подпомагане Млади Земеделски Стопани.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 xml:space="preserve">В сайта </w:t>
            </w:r>
            <w:hyperlink r:id="rId18" w:history="1">
              <w:r w:rsidRPr="00770D6A">
                <w:rPr>
                  <w:rStyle w:val="Hyperlink"/>
                  <w:rFonts w:ascii="Times New Roman" w:hAnsi="Times New Roman" w:cs="Times New Roman"/>
                  <w:sz w:val="24"/>
                  <w:szCs w:val="24"/>
                </w:rPr>
                <w:t>www.sp2023.bg</w:t>
              </w:r>
            </w:hyperlink>
            <w:r w:rsidRPr="00770D6A">
              <w:rPr>
                <w:rFonts w:ascii="Times New Roman" w:hAnsi="Times New Roman" w:cs="Times New Roman"/>
                <w:sz w:val="24"/>
                <w:szCs w:val="24"/>
              </w:rPr>
              <w:t xml:space="preserve"> в описанието на Интервенциите Г.1 и Г.1.1 също е записано, че ще се дава приоритет на Навлизанато на Млади Фермери. Какъв по-подходящ начин да се стимулира навлизането на млади фермери, именно от това да ги включим да бъдат допустими по тази мярка, вместо респективно „да им отрежем крилата“ до следващият прием след 5 или 7 години, каквото представлява заложената рестрикция, ако не бъде изрично уточнено, а това може да се направи с допълнението, което от СБПБ Ви предлагаме.</w:t>
            </w:r>
          </w:p>
          <w:p w:rsidR="00813D0C" w:rsidRPr="00770D6A" w:rsidRDefault="00813D0C" w:rsidP="00813D0C">
            <w:pPr>
              <w:spacing w:line="276" w:lineRule="auto"/>
              <w:jc w:val="both"/>
              <w:rPr>
                <w:rFonts w:ascii="Times New Roman" w:hAnsi="Times New Roman" w:cs="Times New Roman"/>
                <w:sz w:val="24"/>
                <w:szCs w:val="24"/>
              </w:rPr>
            </w:pPr>
            <w:hyperlink r:id="rId19" w:history="1">
              <w:r w:rsidRPr="00770D6A">
                <w:rPr>
                  <w:rStyle w:val="Hyperlink"/>
                  <w:rFonts w:ascii="Times New Roman" w:hAnsi="Times New Roman" w:cs="Times New Roman"/>
                  <w:sz w:val="24"/>
                  <w:szCs w:val="24"/>
                </w:rPr>
                <w:t>https://www.sp2023.bg/index.php/bg/intervencii/ii-i-2-profesionalno-obuc...</w:t>
              </w:r>
            </w:hyperlink>
          </w:p>
          <w:p w:rsidR="00813D0C" w:rsidRPr="00770D6A" w:rsidRDefault="00813D0C" w:rsidP="00813D0C">
            <w:pPr>
              <w:spacing w:line="276" w:lineRule="auto"/>
              <w:jc w:val="both"/>
              <w:rPr>
                <w:rFonts w:ascii="Times New Roman" w:hAnsi="Times New Roman" w:cs="Times New Roman"/>
                <w:sz w:val="24"/>
                <w:szCs w:val="24"/>
              </w:rPr>
            </w:pPr>
            <w:hyperlink r:id="rId20" w:history="1">
              <w:r w:rsidRPr="00770D6A">
                <w:rPr>
                  <w:rStyle w:val="Hyperlink"/>
                  <w:rFonts w:ascii="Times New Roman" w:hAnsi="Times New Roman" w:cs="Times New Roman"/>
                  <w:sz w:val="24"/>
                  <w:szCs w:val="24"/>
                </w:rPr>
                <w:t>https://www.sp2023.bg/index.php/bg/intervencii/ii-i-2-profesionalno-obuc...</w:t>
              </w:r>
            </w:hyperlink>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Надяваме се да споделяте мотивите ни, за да се приеме това това допълнение.</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sz w:val="24"/>
                <w:szCs w:val="24"/>
              </w:rPr>
            </w:pPr>
          </w:p>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1. 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За подкрепа на младите земеделски стопани при стартиране на дейност в Стратегическия план е разработена и се прилага интервенция II.Д.1. „Стартова помощ за установяване на млади земеделски стопани в селското стопанство“.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 допълнение, в съответствие с политиката за насърчаване на младите земеделски стопани, за тях е предвиден приоритет по критериите за оценка с цел получаване на предимство пред останалите кандидати.</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1C1239">
              <w:rPr>
                <w:rFonts w:ascii="Times New Roman" w:hAnsi="Times New Roman" w:cs="Times New Roman"/>
                <w:sz w:val="24"/>
                <w:szCs w:val="24"/>
              </w:rPr>
              <w:t>Рангел Матански</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30.10.2025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23:41</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Уважаеми представители на УО,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Сдружаването е кауза и дългосрочен процес на изграждане на доверие между ЗС. Сдружаването има за цел да стабилизира доходите на членовете ЗС, подпомогне тяхното оцеляване и осигури пазарна сила, която е жизненоважна в постоянните кризи, в които се намира българското земеделие. Кризи, които се очаква дори да се задълбочават в предстоящите години, поради обявеното намаляване на бюджета за земеделие в следващия програмен период, достъп до европейския пазар на земеделска продукция от трети държави, все по-интензивни климатични предизвикателства и др. В качените две интервенции за публично обсъждане съществува възможност за колективни инвестиции на ниво земеделско стопанство, които да насърчат и укрепят ГОП в различни сектори. За този вид проекти е важно да се отбележи, че интензитета на подпомагане е 65%, което е с само 5% повече от индивидуални проекти на ЗС в чувствителни сектори – 60% . Участие в колективен проект съгласно процента притежавани дялове в ГОП отнема от индивидуалния разполагаем лимит на членуващия ЗС, което изправя членовете пред избор дали да правят индивидуален или колективен проект. Видно от предходните приеми изборът е винаги в посока индивидуален проект /по представени данни колективните проекти са под 1% от общия брой проекти/. В същото време ГОП по своята същност не реализират оперативна печалба, а подкрепят повишаване на печалбата на своите ленове, чрез препродажба на земеделската продукция през малки маржове или работят с посредничество в сектор мляко и месо. Нееднократно е коментирано, че голяма част от останалите критерии са неприложими за проекти на ГОП, което създава неравнопоставеност.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С цел насърчаване на жизнено важното за българското и европейско земеделие сдружаване отправям следното предложение, което да даде шанс на проекти на ГОП да съберат достатъчно точки като приоритет, за да получат достъп до финансирани.: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Тълкуването на критерий 4.1 да се разреши като се вземе предвид оперативната печалба на членовете на ГОП от последните три завършени финансови години (2022, 2023 и 2024 г.). В този случай ако членовете на групата/организацията нямат реализирани печалби няма да има значение дали кандидатстват с колективен или индивидуален проект. Подкрепата на такива проекти ще гарантира възможност за тяхното финансиране и коректно изпълнение.</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са разглеждани на заседание на Тематична работна група на 14.08.2025 г. и са приети на заседание на Комитета за наблюдение на СПРЗСР на 3-4 септември 2025 г.</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са приети след задълбочени дискусии със заинтересованите страни, в които са взети предвид анализите при подготовка на стратегическия план, идентифицираните потребности и е търсен баланс между различните приоритети. Критерии за подбор по т. 3 „Проекти, насърчаващи кооперирането и интеграцията между земеделските производители“ е специално фокусиран към групите и организациите на производители и дава предимство пред останалите кандидати. Следва да се отбележи, че критерии 3 е след приоритетите с най-висока относителна тежест.</w:t>
            </w:r>
          </w:p>
        </w:tc>
      </w:tr>
      <w:tr w:rsidR="00813D0C" w:rsidRPr="00770D6A" w:rsidTr="00ED5BBF">
        <w:trPr>
          <w:trHeight w:val="70"/>
        </w:trPr>
        <w:tc>
          <w:tcPr>
            <w:tcW w:w="567" w:type="dxa"/>
            <w:shd w:val="clear" w:color="auto" w:fill="auto"/>
          </w:tcPr>
          <w:p w:rsidR="00813D0C" w:rsidRPr="00770D6A" w:rsidRDefault="007824BD" w:rsidP="00813D0C">
            <w:pPr>
              <w:tabs>
                <w:tab w:val="left" w:pos="10632"/>
              </w:tabs>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00813D0C" w:rsidRPr="00770D6A">
              <w:rPr>
                <w:rFonts w:ascii="Times New Roman" w:hAnsi="Times New Roman" w:cs="Times New Roman"/>
                <w:sz w:val="24"/>
                <w:szCs w:val="24"/>
              </w:rPr>
              <w:t>.</w:t>
            </w:r>
          </w:p>
        </w:tc>
        <w:tc>
          <w:tcPr>
            <w:tcW w:w="1559"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Българска Асоциация Биопродукти</w:t>
            </w:r>
          </w:p>
        </w:tc>
        <w:tc>
          <w:tcPr>
            <w:tcW w:w="1588" w:type="dxa"/>
            <w:shd w:val="clear" w:color="auto" w:fill="auto"/>
          </w:tcPr>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31.10.2025 г.</w:t>
            </w:r>
          </w:p>
          <w:p w:rsidR="00813D0C" w:rsidRPr="00770D6A" w:rsidRDefault="00813D0C" w:rsidP="00813D0C">
            <w:pPr>
              <w:tabs>
                <w:tab w:val="left" w:pos="10632"/>
              </w:tabs>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13:08</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Във връзка с публикувани за обществено обсъждане интервенции II.Г.1 и II.Г.1.1 предлагаме изменение в условията за кандидатстване и по двете интервенции. Да се дават точки за: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Ангажимент за изграждане на насаждения, от приоритетния сектор, за който кандидатът взима точки. Например – за трайни насаждения - повече от 100 дка. Идеята на това предложение е да бъдат третирани по един и същ начин земеделци и животновъди. В раздела животни се дават точки за хуманно отношение към животните. Това поставя кандидатите, които са от другите сектори в неравностойно положение</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Успешно реализиран и разплатен  проект по мярка 4.1. Предложението изглежда в противоречие на критерий 5.5. То адресира един сериозен проблем в годините – подписване на договори с бенефициенти, които не изпълняват проектите си. Идеята е на това предложение е, да се даде бонус на фирмите изпълнили до край поетите ангажименти по предходните мерки и да се пенализират тези, които подписват и не изпълняват проектите си</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Нетна стойност на активите на стопанството - над 1м.лв. С това предложение отново се цели устойчивост</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Пак в търсене на устойчивост - през последните 2 години в дружеството са били  открити минимум три работни места и с изпълнението на проекта се поема ангажимент да се запазят трите работни места и да се създаде още едно ново работно място.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Да се спре изкуственото раздробяване на стопанствата за получаване на по-големи субсидии на площ на такива от под 300 дка, да се дават точки за стопанства от над 300дка от приоритетните сектори само.</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По отношение на критерий за подбор 4.1</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Точките за финансово състояние на кандидата, което обезпечава реализирането на инвестицията да могат да се получат и при писмо с неотменим ангажимент от лицензирана банкова институция за финансиране на поне 60% от инвестицията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w:t>
            </w:r>
            <w:r w:rsidRPr="00770D6A">
              <w:rPr>
                <w:rFonts w:ascii="Times New Roman" w:hAnsi="Times New Roman" w:cs="Times New Roman"/>
                <w:sz w:val="24"/>
                <w:szCs w:val="24"/>
              </w:rPr>
              <w:tab/>
              <w:t>От критерий 4.1 да бъде премахнато – при съотношението  (К), когато се получава число  по-голямо 10 /десет/, да не се получават точки. В моментното предложение на този критерий се наказват фирми, които декларират високи печалби и съответно внасят в бюджета високи данъци</w:t>
            </w:r>
          </w:p>
        </w:tc>
        <w:tc>
          <w:tcPr>
            <w:tcW w:w="5599" w:type="dxa"/>
            <w:shd w:val="clear" w:color="auto" w:fill="auto"/>
          </w:tcPr>
          <w:p w:rsidR="00813D0C" w:rsidRPr="00770D6A" w:rsidRDefault="00813D0C" w:rsidP="00813D0C">
            <w:pPr>
              <w:spacing w:line="276" w:lineRule="auto"/>
              <w:jc w:val="both"/>
              <w:rPr>
                <w:rFonts w:ascii="Times New Roman" w:hAnsi="Times New Roman" w:cs="Times New Roman"/>
                <w:b/>
                <w:sz w:val="24"/>
                <w:szCs w:val="24"/>
              </w:rPr>
            </w:pPr>
            <w:r w:rsidRPr="00770D6A">
              <w:rPr>
                <w:rFonts w:ascii="Times New Roman" w:hAnsi="Times New Roman" w:cs="Times New Roman"/>
                <w:b/>
                <w:sz w:val="24"/>
                <w:szCs w:val="24"/>
              </w:rPr>
              <w:t>Не се приема.</w:t>
            </w:r>
          </w:p>
          <w:p w:rsidR="00813D0C" w:rsidRPr="00770D6A" w:rsidRDefault="00813D0C" w:rsidP="00813D0C">
            <w:pPr>
              <w:spacing w:line="276" w:lineRule="auto"/>
              <w:jc w:val="both"/>
              <w:rPr>
                <w:rFonts w:ascii="Times New Roman" w:hAnsi="Times New Roman" w:cs="Times New Roman"/>
                <w:sz w:val="24"/>
                <w:szCs w:val="24"/>
              </w:rPr>
            </w:pPr>
            <w:r w:rsidRPr="00770D6A">
              <w:rPr>
                <w:rFonts w:ascii="Times New Roman" w:hAnsi="Times New Roman" w:cs="Times New Roman"/>
                <w:sz w:val="24"/>
                <w:szCs w:val="24"/>
              </w:rPr>
              <w:t>Критериите за оценка са разглеждани на заседание на Тематична работна група на 14.08.2025 г. и са приети на заседание на Комитета за наблюдение на СПРЗСР на 3-4 септември 2025 г.</w:t>
            </w:r>
          </w:p>
        </w:tc>
      </w:tr>
    </w:tbl>
    <w:p w:rsidR="003534A4" w:rsidRPr="00770D6A" w:rsidRDefault="003534A4" w:rsidP="00E5495E">
      <w:pPr>
        <w:tabs>
          <w:tab w:val="left" w:pos="10632"/>
        </w:tabs>
        <w:spacing w:after="0"/>
        <w:jc w:val="both"/>
        <w:rPr>
          <w:rFonts w:ascii="Times New Roman" w:hAnsi="Times New Roman" w:cs="Times New Roman"/>
          <w:color w:val="FFFFFF" w:themeColor="background1"/>
          <w:sz w:val="24"/>
          <w:szCs w:val="24"/>
        </w:rPr>
      </w:pPr>
    </w:p>
    <w:sectPr w:rsidR="003534A4" w:rsidRPr="00770D6A" w:rsidSect="00EA0B2D">
      <w:headerReference w:type="default" r:id="rId21"/>
      <w:footerReference w:type="default" r:id="rId22"/>
      <w:pgSz w:w="16838" w:h="11906" w:orient="landscape"/>
      <w:pgMar w:top="720" w:right="1954" w:bottom="720" w:left="720" w:header="284" w:footer="44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61A63" w16cex:dateUtc="2025-01-18T10:17:00Z"/>
  <w16cex:commentExtensible w16cex:durableId="2B3620DA" w16cex:dateUtc="2025-01-18T10:45:00Z"/>
  <w16cex:commentExtensible w16cex:durableId="2B3622EE" w16cex:dateUtc="2025-01-18T10:54:00Z"/>
  <w16cex:commentExtensible w16cex:durableId="2B36265B" w16cex:dateUtc="2025-01-18T11:08:00Z"/>
  <w16cex:commentExtensible w16cex:durableId="2B362A0B" w16cex:dateUtc="2025-0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22CE7" w16cid:durableId="2B361A63"/>
  <w16cid:commentId w16cid:paraId="464E7750" w16cid:durableId="2B3620DA"/>
  <w16cid:commentId w16cid:paraId="29608D01" w16cid:durableId="2B3622EE"/>
  <w16cid:commentId w16cid:paraId="36821CA5" w16cid:durableId="2B36265B"/>
  <w16cid:commentId w16cid:paraId="0626DBD1" w16cid:durableId="2B362A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464" w:rsidRDefault="00560464" w:rsidP="00611248">
      <w:pPr>
        <w:spacing w:after="0" w:line="240" w:lineRule="auto"/>
      </w:pPr>
      <w:r>
        <w:separator/>
      </w:r>
    </w:p>
  </w:endnote>
  <w:endnote w:type="continuationSeparator" w:id="0">
    <w:p w:rsidR="00560464" w:rsidRDefault="00560464" w:rsidP="0061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29487946"/>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rsidR="005D3329" w:rsidRPr="00DD01E7" w:rsidRDefault="005D3329">
            <w:pPr>
              <w:pStyle w:val="Footer"/>
              <w:jc w:val="right"/>
              <w:rPr>
                <w:rFonts w:ascii="Times New Roman" w:hAnsi="Times New Roman" w:cs="Times New Roman"/>
                <w:sz w:val="20"/>
                <w:szCs w:val="20"/>
              </w:rPr>
            </w:pPr>
            <w:r>
              <w:rPr>
                <w:rFonts w:ascii="Times New Roman" w:hAnsi="Times New Roman" w:cs="Times New Roman"/>
                <w:sz w:val="20"/>
                <w:szCs w:val="20"/>
              </w:rPr>
              <w:t xml:space="preserve">стр. </w:t>
            </w:r>
            <w:r w:rsidRPr="00DD01E7">
              <w:rPr>
                <w:rFonts w:ascii="Times New Roman" w:hAnsi="Times New Roman" w:cs="Times New Roman"/>
                <w:b/>
                <w:bCs/>
                <w:sz w:val="20"/>
                <w:szCs w:val="20"/>
              </w:rPr>
              <w:fldChar w:fldCharType="begin"/>
            </w:r>
            <w:r w:rsidRPr="00DD01E7">
              <w:rPr>
                <w:rFonts w:ascii="Times New Roman" w:hAnsi="Times New Roman" w:cs="Times New Roman"/>
                <w:b/>
                <w:bCs/>
                <w:sz w:val="20"/>
                <w:szCs w:val="20"/>
              </w:rPr>
              <w:instrText xml:space="preserve"> PAGE </w:instrText>
            </w:r>
            <w:r w:rsidRPr="00DD01E7">
              <w:rPr>
                <w:rFonts w:ascii="Times New Roman" w:hAnsi="Times New Roman" w:cs="Times New Roman"/>
                <w:b/>
                <w:bCs/>
                <w:sz w:val="20"/>
                <w:szCs w:val="20"/>
              </w:rPr>
              <w:fldChar w:fldCharType="separate"/>
            </w:r>
            <w:r w:rsidR="004D2DB4">
              <w:rPr>
                <w:rFonts w:ascii="Times New Roman" w:hAnsi="Times New Roman" w:cs="Times New Roman"/>
                <w:b/>
                <w:bCs/>
                <w:noProof/>
                <w:sz w:val="20"/>
                <w:szCs w:val="20"/>
              </w:rPr>
              <w:t>2</w:t>
            </w:r>
            <w:r w:rsidRPr="00DD01E7">
              <w:rPr>
                <w:rFonts w:ascii="Times New Roman" w:hAnsi="Times New Roman" w:cs="Times New Roman"/>
                <w:b/>
                <w:bCs/>
                <w:sz w:val="20"/>
                <w:szCs w:val="20"/>
              </w:rPr>
              <w:fldChar w:fldCharType="end"/>
            </w:r>
            <w:r w:rsidRPr="00DD01E7">
              <w:rPr>
                <w:rFonts w:ascii="Times New Roman" w:hAnsi="Times New Roman" w:cs="Times New Roman"/>
                <w:sz w:val="20"/>
                <w:szCs w:val="20"/>
              </w:rPr>
              <w:t xml:space="preserve"> </w:t>
            </w:r>
            <w:r>
              <w:rPr>
                <w:rFonts w:ascii="Times New Roman" w:hAnsi="Times New Roman" w:cs="Times New Roman"/>
                <w:sz w:val="20"/>
                <w:szCs w:val="20"/>
              </w:rPr>
              <w:t>от</w:t>
            </w:r>
            <w:r w:rsidRPr="00DD01E7">
              <w:rPr>
                <w:rFonts w:ascii="Times New Roman" w:hAnsi="Times New Roman" w:cs="Times New Roman"/>
                <w:sz w:val="20"/>
                <w:szCs w:val="20"/>
              </w:rPr>
              <w:t xml:space="preserve"> </w:t>
            </w:r>
            <w:r w:rsidRPr="00DD01E7">
              <w:rPr>
                <w:rFonts w:ascii="Times New Roman" w:hAnsi="Times New Roman" w:cs="Times New Roman"/>
                <w:b/>
                <w:bCs/>
                <w:sz w:val="20"/>
                <w:szCs w:val="20"/>
              </w:rPr>
              <w:fldChar w:fldCharType="begin"/>
            </w:r>
            <w:r w:rsidRPr="00DD01E7">
              <w:rPr>
                <w:rFonts w:ascii="Times New Roman" w:hAnsi="Times New Roman" w:cs="Times New Roman"/>
                <w:b/>
                <w:bCs/>
                <w:sz w:val="20"/>
                <w:szCs w:val="20"/>
              </w:rPr>
              <w:instrText xml:space="preserve"> NUMPAGES  </w:instrText>
            </w:r>
            <w:r w:rsidRPr="00DD01E7">
              <w:rPr>
                <w:rFonts w:ascii="Times New Roman" w:hAnsi="Times New Roman" w:cs="Times New Roman"/>
                <w:b/>
                <w:bCs/>
                <w:sz w:val="20"/>
                <w:szCs w:val="20"/>
              </w:rPr>
              <w:fldChar w:fldCharType="separate"/>
            </w:r>
            <w:r w:rsidR="004D2DB4">
              <w:rPr>
                <w:rFonts w:ascii="Times New Roman" w:hAnsi="Times New Roman" w:cs="Times New Roman"/>
                <w:b/>
                <w:bCs/>
                <w:noProof/>
                <w:sz w:val="20"/>
                <w:szCs w:val="20"/>
              </w:rPr>
              <w:t>104</w:t>
            </w:r>
            <w:r w:rsidRPr="00DD01E7">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464" w:rsidRDefault="00560464" w:rsidP="00611248">
      <w:pPr>
        <w:spacing w:after="0" w:line="240" w:lineRule="auto"/>
      </w:pPr>
      <w:r>
        <w:separator/>
      </w:r>
    </w:p>
  </w:footnote>
  <w:footnote w:type="continuationSeparator" w:id="0">
    <w:p w:rsidR="00560464" w:rsidRDefault="00560464" w:rsidP="0061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29" w:rsidRDefault="005D3329" w:rsidP="000C659B">
    <w:pPr>
      <w:pStyle w:val="Header"/>
      <w:jc w:val="center"/>
    </w:pPr>
    <w:r>
      <w:rPr>
        <w:noProof/>
        <w:lang w:eastAsia="bg-BG"/>
      </w:rPr>
      <w:drawing>
        <wp:inline distT="0" distB="0" distL="0" distR="0" wp14:anchorId="100A3CF1" wp14:editId="73D0984E">
          <wp:extent cx="7108552" cy="81083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108552" cy="8108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6FC5"/>
    <w:multiLevelType w:val="multilevel"/>
    <w:tmpl w:val="6A76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63845"/>
    <w:multiLevelType w:val="multilevel"/>
    <w:tmpl w:val="D29A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37DC9"/>
    <w:multiLevelType w:val="multilevel"/>
    <w:tmpl w:val="AB9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718C3"/>
    <w:multiLevelType w:val="multilevel"/>
    <w:tmpl w:val="534C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B2666"/>
    <w:multiLevelType w:val="multilevel"/>
    <w:tmpl w:val="C2B8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02649"/>
    <w:multiLevelType w:val="multilevel"/>
    <w:tmpl w:val="EA74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E0A6E"/>
    <w:multiLevelType w:val="multilevel"/>
    <w:tmpl w:val="874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224C5"/>
    <w:multiLevelType w:val="multilevel"/>
    <w:tmpl w:val="9A24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2564AD"/>
    <w:multiLevelType w:val="multilevel"/>
    <w:tmpl w:val="1AE628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B3DD2"/>
    <w:multiLevelType w:val="multilevel"/>
    <w:tmpl w:val="E392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D0206"/>
    <w:multiLevelType w:val="multilevel"/>
    <w:tmpl w:val="846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55C03"/>
    <w:multiLevelType w:val="multilevel"/>
    <w:tmpl w:val="59B2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475AC6"/>
    <w:multiLevelType w:val="multilevel"/>
    <w:tmpl w:val="58A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7E6C83"/>
    <w:multiLevelType w:val="multilevel"/>
    <w:tmpl w:val="5BFA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C6C1A"/>
    <w:multiLevelType w:val="multilevel"/>
    <w:tmpl w:val="F13E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10081B"/>
    <w:multiLevelType w:val="multilevel"/>
    <w:tmpl w:val="5922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455D22"/>
    <w:multiLevelType w:val="multilevel"/>
    <w:tmpl w:val="72E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1C7685"/>
    <w:multiLevelType w:val="multilevel"/>
    <w:tmpl w:val="5C30F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B835CE"/>
    <w:multiLevelType w:val="multilevel"/>
    <w:tmpl w:val="BFB8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565840"/>
    <w:multiLevelType w:val="multilevel"/>
    <w:tmpl w:val="B6DE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613E9D"/>
    <w:multiLevelType w:val="multilevel"/>
    <w:tmpl w:val="7E48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9255A"/>
    <w:multiLevelType w:val="multilevel"/>
    <w:tmpl w:val="34C8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B87F39"/>
    <w:multiLevelType w:val="multilevel"/>
    <w:tmpl w:val="1DF82D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0D1EF7"/>
    <w:multiLevelType w:val="multilevel"/>
    <w:tmpl w:val="48B2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C51B39"/>
    <w:multiLevelType w:val="multilevel"/>
    <w:tmpl w:val="16F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845814"/>
    <w:multiLevelType w:val="multilevel"/>
    <w:tmpl w:val="843C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61392"/>
    <w:multiLevelType w:val="multilevel"/>
    <w:tmpl w:val="16C6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426FC"/>
    <w:multiLevelType w:val="multilevel"/>
    <w:tmpl w:val="838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384050"/>
    <w:multiLevelType w:val="multilevel"/>
    <w:tmpl w:val="10FCE9A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257DCA"/>
    <w:multiLevelType w:val="multilevel"/>
    <w:tmpl w:val="16C26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BF6BA9"/>
    <w:multiLevelType w:val="multilevel"/>
    <w:tmpl w:val="E86A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87352C"/>
    <w:multiLevelType w:val="multilevel"/>
    <w:tmpl w:val="22965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3D3408"/>
    <w:multiLevelType w:val="multilevel"/>
    <w:tmpl w:val="847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671881"/>
    <w:multiLevelType w:val="multilevel"/>
    <w:tmpl w:val="7702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D17AAD"/>
    <w:multiLevelType w:val="multilevel"/>
    <w:tmpl w:val="1B82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C62584"/>
    <w:multiLevelType w:val="multilevel"/>
    <w:tmpl w:val="E7EE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385A27"/>
    <w:multiLevelType w:val="multilevel"/>
    <w:tmpl w:val="B90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127C3F"/>
    <w:multiLevelType w:val="multilevel"/>
    <w:tmpl w:val="7C5C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1E31C2"/>
    <w:multiLevelType w:val="multilevel"/>
    <w:tmpl w:val="1FE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7C38F4"/>
    <w:multiLevelType w:val="multilevel"/>
    <w:tmpl w:val="2EE2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845A6C"/>
    <w:multiLevelType w:val="multilevel"/>
    <w:tmpl w:val="2F80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1A097F"/>
    <w:multiLevelType w:val="hybridMultilevel"/>
    <w:tmpl w:val="6EBAA6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9CA52BD"/>
    <w:multiLevelType w:val="multilevel"/>
    <w:tmpl w:val="E09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AD66E4"/>
    <w:multiLevelType w:val="multilevel"/>
    <w:tmpl w:val="F344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CC7385"/>
    <w:multiLevelType w:val="multilevel"/>
    <w:tmpl w:val="F960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027BD4"/>
    <w:multiLevelType w:val="multilevel"/>
    <w:tmpl w:val="9B76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2A5FA0"/>
    <w:multiLevelType w:val="multilevel"/>
    <w:tmpl w:val="AF50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CD095C"/>
    <w:multiLevelType w:val="multilevel"/>
    <w:tmpl w:val="79F0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E8748B"/>
    <w:multiLevelType w:val="multilevel"/>
    <w:tmpl w:val="7EAABAC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C7AEE"/>
    <w:multiLevelType w:val="multilevel"/>
    <w:tmpl w:val="9AAA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DC6414"/>
    <w:multiLevelType w:val="multilevel"/>
    <w:tmpl w:val="358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EA7DB9"/>
    <w:multiLevelType w:val="multilevel"/>
    <w:tmpl w:val="ED1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8226CA"/>
    <w:multiLevelType w:val="multilevel"/>
    <w:tmpl w:val="902A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E07B7"/>
    <w:multiLevelType w:val="multilevel"/>
    <w:tmpl w:val="2AFC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29795A"/>
    <w:multiLevelType w:val="multilevel"/>
    <w:tmpl w:val="A73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C21A92"/>
    <w:multiLevelType w:val="multilevel"/>
    <w:tmpl w:val="FA5C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FF43A8"/>
    <w:multiLevelType w:val="multilevel"/>
    <w:tmpl w:val="6C2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0D47DE"/>
    <w:multiLevelType w:val="multilevel"/>
    <w:tmpl w:val="928C8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100E95"/>
    <w:multiLevelType w:val="multilevel"/>
    <w:tmpl w:val="3408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1875F1"/>
    <w:multiLevelType w:val="multilevel"/>
    <w:tmpl w:val="C554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A161A6"/>
    <w:multiLevelType w:val="multilevel"/>
    <w:tmpl w:val="D1D6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B711DB"/>
    <w:multiLevelType w:val="multilevel"/>
    <w:tmpl w:val="7CD6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8C2343"/>
    <w:multiLevelType w:val="multilevel"/>
    <w:tmpl w:val="EBBAD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FD3365"/>
    <w:multiLevelType w:val="multilevel"/>
    <w:tmpl w:val="E71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E79ED6D"/>
    <w:multiLevelType w:val="hybridMultilevel"/>
    <w:tmpl w:val="C208A3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FB751B1"/>
    <w:multiLevelType w:val="multilevel"/>
    <w:tmpl w:val="5F664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FBA62FC"/>
    <w:multiLevelType w:val="multilevel"/>
    <w:tmpl w:val="5D36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0"/>
  </w:num>
  <w:num w:numId="3">
    <w:abstractNumId w:val="43"/>
  </w:num>
  <w:num w:numId="4">
    <w:abstractNumId w:val="2"/>
  </w:num>
  <w:num w:numId="5">
    <w:abstractNumId w:val="36"/>
  </w:num>
  <w:num w:numId="6">
    <w:abstractNumId w:val="35"/>
  </w:num>
  <w:num w:numId="7">
    <w:abstractNumId w:val="56"/>
  </w:num>
  <w:num w:numId="8">
    <w:abstractNumId w:val="63"/>
  </w:num>
  <w:num w:numId="9">
    <w:abstractNumId w:val="45"/>
  </w:num>
  <w:num w:numId="10">
    <w:abstractNumId w:val="9"/>
  </w:num>
  <w:num w:numId="11">
    <w:abstractNumId w:val="55"/>
  </w:num>
  <w:num w:numId="12">
    <w:abstractNumId w:val="41"/>
  </w:num>
  <w:num w:numId="13">
    <w:abstractNumId w:val="64"/>
  </w:num>
  <w:num w:numId="14">
    <w:abstractNumId w:val="49"/>
  </w:num>
  <w:num w:numId="15">
    <w:abstractNumId w:val="42"/>
  </w:num>
  <w:num w:numId="16">
    <w:abstractNumId w:val="57"/>
  </w:num>
  <w:num w:numId="17">
    <w:abstractNumId w:val="51"/>
  </w:num>
  <w:num w:numId="18">
    <w:abstractNumId w:val="3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9"/>
  </w:num>
  <w:num w:numId="22">
    <w:abstractNumId w:val="28"/>
  </w:num>
  <w:num w:numId="23">
    <w:abstractNumId w:val="17"/>
  </w:num>
  <w:num w:numId="24">
    <w:abstractNumId w:val="22"/>
  </w:num>
  <w:num w:numId="25">
    <w:abstractNumId w:val="60"/>
  </w:num>
  <w:num w:numId="26">
    <w:abstractNumId w:val="15"/>
  </w:num>
  <w:num w:numId="27">
    <w:abstractNumId w:val="7"/>
  </w:num>
  <w:num w:numId="28">
    <w:abstractNumId w:val="5"/>
  </w:num>
  <w:num w:numId="29">
    <w:abstractNumId w:val="44"/>
  </w:num>
  <w:num w:numId="30">
    <w:abstractNumId w:val="59"/>
  </w:num>
  <w:num w:numId="31">
    <w:abstractNumId w:val="18"/>
  </w:num>
  <w:num w:numId="32">
    <w:abstractNumId w:val="58"/>
  </w:num>
  <w:num w:numId="33">
    <w:abstractNumId w:val="47"/>
  </w:num>
  <w:num w:numId="34">
    <w:abstractNumId w:val="4"/>
  </w:num>
  <w:num w:numId="35">
    <w:abstractNumId w:val="1"/>
  </w:num>
  <w:num w:numId="36">
    <w:abstractNumId w:val="13"/>
  </w:num>
  <w:num w:numId="37">
    <w:abstractNumId w:val="20"/>
  </w:num>
  <w:num w:numId="38">
    <w:abstractNumId w:val="23"/>
  </w:num>
  <w:num w:numId="39">
    <w:abstractNumId w:val="3"/>
  </w:num>
  <w:num w:numId="40">
    <w:abstractNumId w:val="52"/>
  </w:num>
  <w:num w:numId="41">
    <w:abstractNumId w:val="25"/>
  </w:num>
  <w:num w:numId="42">
    <w:abstractNumId w:val="53"/>
  </w:num>
  <w:num w:numId="43">
    <w:abstractNumId w:val="48"/>
  </w:num>
  <w:num w:numId="44">
    <w:abstractNumId w:val="33"/>
  </w:num>
  <w:num w:numId="45">
    <w:abstractNumId w:val="21"/>
  </w:num>
  <w:num w:numId="46">
    <w:abstractNumId w:val="10"/>
  </w:num>
  <w:num w:numId="47">
    <w:abstractNumId w:val="14"/>
  </w:num>
  <w:num w:numId="48">
    <w:abstractNumId w:val="8"/>
  </w:num>
  <w:num w:numId="49">
    <w:abstractNumId w:val="32"/>
  </w:num>
  <w:num w:numId="50">
    <w:abstractNumId w:val="37"/>
  </w:num>
  <w:num w:numId="51">
    <w:abstractNumId w:val="61"/>
  </w:num>
  <w:num w:numId="52">
    <w:abstractNumId w:val="30"/>
  </w:num>
  <w:num w:numId="53">
    <w:abstractNumId w:val="11"/>
  </w:num>
  <w:num w:numId="54">
    <w:abstractNumId w:val="54"/>
  </w:num>
  <w:num w:numId="55">
    <w:abstractNumId w:val="66"/>
  </w:num>
  <w:num w:numId="56">
    <w:abstractNumId w:val="46"/>
  </w:num>
  <w:num w:numId="57">
    <w:abstractNumId w:val="16"/>
  </w:num>
  <w:num w:numId="58">
    <w:abstractNumId w:val="34"/>
  </w:num>
  <w:num w:numId="59">
    <w:abstractNumId w:val="6"/>
  </w:num>
  <w:num w:numId="60">
    <w:abstractNumId w:val="50"/>
  </w:num>
  <w:num w:numId="61">
    <w:abstractNumId w:val="29"/>
  </w:num>
  <w:num w:numId="62">
    <w:abstractNumId w:val="40"/>
  </w:num>
  <w:num w:numId="63">
    <w:abstractNumId w:val="19"/>
  </w:num>
  <w:num w:numId="64">
    <w:abstractNumId w:val="27"/>
  </w:num>
  <w:num w:numId="65">
    <w:abstractNumId w:val="24"/>
  </w:num>
  <w:num w:numId="66">
    <w:abstractNumId w:val="65"/>
  </w:num>
  <w:num w:numId="67">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D4"/>
    <w:rsid w:val="000007D5"/>
    <w:rsid w:val="00003516"/>
    <w:rsid w:val="0000521F"/>
    <w:rsid w:val="00005591"/>
    <w:rsid w:val="000076C6"/>
    <w:rsid w:val="00010093"/>
    <w:rsid w:val="0001102B"/>
    <w:rsid w:val="00013682"/>
    <w:rsid w:val="00013911"/>
    <w:rsid w:val="000166D5"/>
    <w:rsid w:val="00017482"/>
    <w:rsid w:val="000231A8"/>
    <w:rsid w:val="00024B7A"/>
    <w:rsid w:val="0002586F"/>
    <w:rsid w:val="000306DE"/>
    <w:rsid w:val="00031024"/>
    <w:rsid w:val="00031569"/>
    <w:rsid w:val="00036069"/>
    <w:rsid w:val="000367B0"/>
    <w:rsid w:val="000369A7"/>
    <w:rsid w:val="00036CAD"/>
    <w:rsid w:val="00041132"/>
    <w:rsid w:val="00047FDB"/>
    <w:rsid w:val="000503AA"/>
    <w:rsid w:val="00050D0D"/>
    <w:rsid w:val="00052959"/>
    <w:rsid w:val="00054267"/>
    <w:rsid w:val="00056451"/>
    <w:rsid w:val="00057B12"/>
    <w:rsid w:val="000618BA"/>
    <w:rsid w:val="00062108"/>
    <w:rsid w:val="00064B3C"/>
    <w:rsid w:val="000662A3"/>
    <w:rsid w:val="000674E9"/>
    <w:rsid w:val="00067CDD"/>
    <w:rsid w:val="000708C0"/>
    <w:rsid w:val="00072D65"/>
    <w:rsid w:val="00072EDE"/>
    <w:rsid w:val="00075421"/>
    <w:rsid w:val="000759C9"/>
    <w:rsid w:val="0007620D"/>
    <w:rsid w:val="000764AD"/>
    <w:rsid w:val="00077FFA"/>
    <w:rsid w:val="00085093"/>
    <w:rsid w:val="00085F85"/>
    <w:rsid w:val="0008648A"/>
    <w:rsid w:val="000864ED"/>
    <w:rsid w:val="0008756C"/>
    <w:rsid w:val="00090C07"/>
    <w:rsid w:val="00091D82"/>
    <w:rsid w:val="00092E49"/>
    <w:rsid w:val="000937D0"/>
    <w:rsid w:val="00096A31"/>
    <w:rsid w:val="00097170"/>
    <w:rsid w:val="00097953"/>
    <w:rsid w:val="000A0FED"/>
    <w:rsid w:val="000A127C"/>
    <w:rsid w:val="000A24B4"/>
    <w:rsid w:val="000A3860"/>
    <w:rsid w:val="000A476F"/>
    <w:rsid w:val="000A5805"/>
    <w:rsid w:val="000A5927"/>
    <w:rsid w:val="000A5C4C"/>
    <w:rsid w:val="000A60AC"/>
    <w:rsid w:val="000B114D"/>
    <w:rsid w:val="000B1C5D"/>
    <w:rsid w:val="000B252F"/>
    <w:rsid w:val="000B26B6"/>
    <w:rsid w:val="000B59A0"/>
    <w:rsid w:val="000B5A13"/>
    <w:rsid w:val="000B66E2"/>
    <w:rsid w:val="000B69FE"/>
    <w:rsid w:val="000B7083"/>
    <w:rsid w:val="000C05D7"/>
    <w:rsid w:val="000C0748"/>
    <w:rsid w:val="000C1EC1"/>
    <w:rsid w:val="000C517E"/>
    <w:rsid w:val="000C659B"/>
    <w:rsid w:val="000D23F5"/>
    <w:rsid w:val="000D3334"/>
    <w:rsid w:val="000D58D4"/>
    <w:rsid w:val="000D6EB1"/>
    <w:rsid w:val="000E0DA9"/>
    <w:rsid w:val="000E1AE4"/>
    <w:rsid w:val="000E37DA"/>
    <w:rsid w:val="000E388C"/>
    <w:rsid w:val="000F059E"/>
    <w:rsid w:val="000F2A8D"/>
    <w:rsid w:val="000F38AE"/>
    <w:rsid w:val="000F4C28"/>
    <w:rsid w:val="000F59A0"/>
    <w:rsid w:val="000F6C93"/>
    <w:rsid w:val="000F75DD"/>
    <w:rsid w:val="00102E02"/>
    <w:rsid w:val="001032A8"/>
    <w:rsid w:val="00104763"/>
    <w:rsid w:val="00104F59"/>
    <w:rsid w:val="0010512B"/>
    <w:rsid w:val="001057CF"/>
    <w:rsid w:val="00110F33"/>
    <w:rsid w:val="00112C29"/>
    <w:rsid w:val="001165C6"/>
    <w:rsid w:val="00121F69"/>
    <w:rsid w:val="00122056"/>
    <w:rsid w:val="0012278D"/>
    <w:rsid w:val="0012285D"/>
    <w:rsid w:val="00125376"/>
    <w:rsid w:val="0012777C"/>
    <w:rsid w:val="001303FA"/>
    <w:rsid w:val="0013135E"/>
    <w:rsid w:val="0013272F"/>
    <w:rsid w:val="00132F4E"/>
    <w:rsid w:val="00133D35"/>
    <w:rsid w:val="001354E7"/>
    <w:rsid w:val="00135696"/>
    <w:rsid w:val="00136F32"/>
    <w:rsid w:val="001411E5"/>
    <w:rsid w:val="0014179B"/>
    <w:rsid w:val="00141C89"/>
    <w:rsid w:val="0014360D"/>
    <w:rsid w:val="00144DFA"/>
    <w:rsid w:val="00146592"/>
    <w:rsid w:val="001466F0"/>
    <w:rsid w:val="00147FB0"/>
    <w:rsid w:val="00150083"/>
    <w:rsid w:val="001504B1"/>
    <w:rsid w:val="00151A82"/>
    <w:rsid w:val="00151D7D"/>
    <w:rsid w:val="001532D8"/>
    <w:rsid w:val="00153F8C"/>
    <w:rsid w:val="0015408A"/>
    <w:rsid w:val="00154217"/>
    <w:rsid w:val="00154742"/>
    <w:rsid w:val="001556CF"/>
    <w:rsid w:val="0015576D"/>
    <w:rsid w:val="00156A23"/>
    <w:rsid w:val="0015783A"/>
    <w:rsid w:val="00157C10"/>
    <w:rsid w:val="0016017D"/>
    <w:rsid w:val="001606B5"/>
    <w:rsid w:val="00170181"/>
    <w:rsid w:val="00172186"/>
    <w:rsid w:val="00172323"/>
    <w:rsid w:val="00180F8D"/>
    <w:rsid w:val="00184DB9"/>
    <w:rsid w:val="00185263"/>
    <w:rsid w:val="0018550F"/>
    <w:rsid w:val="00190B05"/>
    <w:rsid w:val="00190C70"/>
    <w:rsid w:val="0019342E"/>
    <w:rsid w:val="0019374A"/>
    <w:rsid w:val="00193756"/>
    <w:rsid w:val="00194140"/>
    <w:rsid w:val="00195183"/>
    <w:rsid w:val="001956EB"/>
    <w:rsid w:val="0019606C"/>
    <w:rsid w:val="001A00E2"/>
    <w:rsid w:val="001A033A"/>
    <w:rsid w:val="001A18BC"/>
    <w:rsid w:val="001A615A"/>
    <w:rsid w:val="001A6FBA"/>
    <w:rsid w:val="001A7327"/>
    <w:rsid w:val="001A7A2E"/>
    <w:rsid w:val="001B3608"/>
    <w:rsid w:val="001B3651"/>
    <w:rsid w:val="001B405F"/>
    <w:rsid w:val="001B4F6E"/>
    <w:rsid w:val="001B555A"/>
    <w:rsid w:val="001B6384"/>
    <w:rsid w:val="001C1014"/>
    <w:rsid w:val="001C1239"/>
    <w:rsid w:val="001C14E4"/>
    <w:rsid w:val="001C1EAD"/>
    <w:rsid w:val="001C24A5"/>
    <w:rsid w:val="001C2BC2"/>
    <w:rsid w:val="001D53EB"/>
    <w:rsid w:val="001D5571"/>
    <w:rsid w:val="001E1308"/>
    <w:rsid w:val="001E1D4E"/>
    <w:rsid w:val="001E25BA"/>
    <w:rsid w:val="001E3789"/>
    <w:rsid w:val="001E4306"/>
    <w:rsid w:val="001E5B38"/>
    <w:rsid w:val="001E7B96"/>
    <w:rsid w:val="001F06C0"/>
    <w:rsid w:val="001F17CE"/>
    <w:rsid w:val="001F1EE3"/>
    <w:rsid w:val="001F355B"/>
    <w:rsid w:val="001F439F"/>
    <w:rsid w:val="001F4E59"/>
    <w:rsid w:val="001F5E01"/>
    <w:rsid w:val="001F61DF"/>
    <w:rsid w:val="002008CE"/>
    <w:rsid w:val="00200959"/>
    <w:rsid w:val="00200F05"/>
    <w:rsid w:val="00201769"/>
    <w:rsid w:val="002036EF"/>
    <w:rsid w:val="00205383"/>
    <w:rsid w:val="002054D4"/>
    <w:rsid w:val="002137C5"/>
    <w:rsid w:val="00216326"/>
    <w:rsid w:val="00216E41"/>
    <w:rsid w:val="00220FDF"/>
    <w:rsid w:val="002220F5"/>
    <w:rsid w:val="00224162"/>
    <w:rsid w:val="002244C4"/>
    <w:rsid w:val="0022678B"/>
    <w:rsid w:val="00226FF9"/>
    <w:rsid w:val="0022792D"/>
    <w:rsid w:val="002319A2"/>
    <w:rsid w:val="00231FBC"/>
    <w:rsid w:val="00232C54"/>
    <w:rsid w:val="00233135"/>
    <w:rsid w:val="002418AE"/>
    <w:rsid w:val="00242C64"/>
    <w:rsid w:val="00243620"/>
    <w:rsid w:val="00243BA4"/>
    <w:rsid w:val="0024479C"/>
    <w:rsid w:val="00245355"/>
    <w:rsid w:val="00245935"/>
    <w:rsid w:val="0024662D"/>
    <w:rsid w:val="002517E3"/>
    <w:rsid w:val="002525D8"/>
    <w:rsid w:val="0025261B"/>
    <w:rsid w:val="00252C28"/>
    <w:rsid w:val="00253DA5"/>
    <w:rsid w:val="002543FC"/>
    <w:rsid w:val="002552DE"/>
    <w:rsid w:val="00257AB5"/>
    <w:rsid w:val="0026057C"/>
    <w:rsid w:val="002610C1"/>
    <w:rsid w:val="00263B2F"/>
    <w:rsid w:val="002656DB"/>
    <w:rsid w:val="00265BEC"/>
    <w:rsid w:val="00266A9D"/>
    <w:rsid w:val="00270946"/>
    <w:rsid w:val="002747DD"/>
    <w:rsid w:val="0028019E"/>
    <w:rsid w:val="0028053B"/>
    <w:rsid w:val="00285B84"/>
    <w:rsid w:val="00290007"/>
    <w:rsid w:val="0029083C"/>
    <w:rsid w:val="002914EB"/>
    <w:rsid w:val="00292A25"/>
    <w:rsid w:val="0029373E"/>
    <w:rsid w:val="0029545E"/>
    <w:rsid w:val="00296139"/>
    <w:rsid w:val="0029737B"/>
    <w:rsid w:val="002973AD"/>
    <w:rsid w:val="002A2E20"/>
    <w:rsid w:val="002A5F77"/>
    <w:rsid w:val="002A6539"/>
    <w:rsid w:val="002A7494"/>
    <w:rsid w:val="002A7EC6"/>
    <w:rsid w:val="002B2768"/>
    <w:rsid w:val="002B7222"/>
    <w:rsid w:val="002C07B0"/>
    <w:rsid w:val="002C3FCB"/>
    <w:rsid w:val="002C4231"/>
    <w:rsid w:val="002C6638"/>
    <w:rsid w:val="002C7CDC"/>
    <w:rsid w:val="002D236F"/>
    <w:rsid w:val="002D29E8"/>
    <w:rsid w:val="002D2DAA"/>
    <w:rsid w:val="002D2E1E"/>
    <w:rsid w:val="002D331E"/>
    <w:rsid w:val="002D3C14"/>
    <w:rsid w:val="002D4758"/>
    <w:rsid w:val="002D5C70"/>
    <w:rsid w:val="002D7446"/>
    <w:rsid w:val="002E4120"/>
    <w:rsid w:val="002E5124"/>
    <w:rsid w:val="002E6133"/>
    <w:rsid w:val="002E64FE"/>
    <w:rsid w:val="002F022D"/>
    <w:rsid w:val="002F2C13"/>
    <w:rsid w:val="002F3664"/>
    <w:rsid w:val="002F42CC"/>
    <w:rsid w:val="002F58CB"/>
    <w:rsid w:val="0030089F"/>
    <w:rsid w:val="00300E11"/>
    <w:rsid w:val="0030219F"/>
    <w:rsid w:val="0030379C"/>
    <w:rsid w:val="00304C4F"/>
    <w:rsid w:val="00306D63"/>
    <w:rsid w:val="00312BA7"/>
    <w:rsid w:val="0031350D"/>
    <w:rsid w:val="00315D19"/>
    <w:rsid w:val="00315E6D"/>
    <w:rsid w:val="00317191"/>
    <w:rsid w:val="00324A69"/>
    <w:rsid w:val="00326C0F"/>
    <w:rsid w:val="003331F8"/>
    <w:rsid w:val="00333B90"/>
    <w:rsid w:val="00333C17"/>
    <w:rsid w:val="003403B6"/>
    <w:rsid w:val="003412AE"/>
    <w:rsid w:val="00342BAC"/>
    <w:rsid w:val="0034600D"/>
    <w:rsid w:val="00350C57"/>
    <w:rsid w:val="003534A4"/>
    <w:rsid w:val="00355689"/>
    <w:rsid w:val="003567E6"/>
    <w:rsid w:val="00360D7E"/>
    <w:rsid w:val="00360DBE"/>
    <w:rsid w:val="003642D5"/>
    <w:rsid w:val="00366F0D"/>
    <w:rsid w:val="003703DC"/>
    <w:rsid w:val="00373029"/>
    <w:rsid w:val="00373F92"/>
    <w:rsid w:val="003756A7"/>
    <w:rsid w:val="003769ED"/>
    <w:rsid w:val="003774A0"/>
    <w:rsid w:val="00377D50"/>
    <w:rsid w:val="00381400"/>
    <w:rsid w:val="003819F2"/>
    <w:rsid w:val="003873DA"/>
    <w:rsid w:val="00387CC7"/>
    <w:rsid w:val="00390B29"/>
    <w:rsid w:val="00390D3F"/>
    <w:rsid w:val="00392CBF"/>
    <w:rsid w:val="00393A90"/>
    <w:rsid w:val="00394DEF"/>
    <w:rsid w:val="0039636B"/>
    <w:rsid w:val="00396F72"/>
    <w:rsid w:val="003A3BF1"/>
    <w:rsid w:val="003A5274"/>
    <w:rsid w:val="003B3018"/>
    <w:rsid w:val="003B5397"/>
    <w:rsid w:val="003C0760"/>
    <w:rsid w:val="003C1A10"/>
    <w:rsid w:val="003C23A0"/>
    <w:rsid w:val="003C284E"/>
    <w:rsid w:val="003C543C"/>
    <w:rsid w:val="003C60F9"/>
    <w:rsid w:val="003C64C1"/>
    <w:rsid w:val="003C712A"/>
    <w:rsid w:val="003E0512"/>
    <w:rsid w:val="003E1CD1"/>
    <w:rsid w:val="003E388B"/>
    <w:rsid w:val="003E5770"/>
    <w:rsid w:val="003E7324"/>
    <w:rsid w:val="003E7344"/>
    <w:rsid w:val="003F000B"/>
    <w:rsid w:val="003F0D88"/>
    <w:rsid w:val="003F189B"/>
    <w:rsid w:val="003F1F88"/>
    <w:rsid w:val="003F7753"/>
    <w:rsid w:val="00402ED8"/>
    <w:rsid w:val="004039AB"/>
    <w:rsid w:val="00407A06"/>
    <w:rsid w:val="00407D4A"/>
    <w:rsid w:val="004114EA"/>
    <w:rsid w:val="0041152F"/>
    <w:rsid w:val="0041294D"/>
    <w:rsid w:val="004131EE"/>
    <w:rsid w:val="00420BB7"/>
    <w:rsid w:val="00420CC7"/>
    <w:rsid w:val="00421168"/>
    <w:rsid w:val="0042186F"/>
    <w:rsid w:val="00422160"/>
    <w:rsid w:val="00422BD2"/>
    <w:rsid w:val="00422CC9"/>
    <w:rsid w:val="00425610"/>
    <w:rsid w:val="0042696F"/>
    <w:rsid w:val="00426A00"/>
    <w:rsid w:val="0042705E"/>
    <w:rsid w:val="00427BC4"/>
    <w:rsid w:val="00431262"/>
    <w:rsid w:val="00432A81"/>
    <w:rsid w:val="00433C7F"/>
    <w:rsid w:val="004343E7"/>
    <w:rsid w:val="004366DF"/>
    <w:rsid w:val="0043723A"/>
    <w:rsid w:val="00437422"/>
    <w:rsid w:val="0043743D"/>
    <w:rsid w:val="00437FEC"/>
    <w:rsid w:val="00440152"/>
    <w:rsid w:val="00443CFE"/>
    <w:rsid w:val="00443DF6"/>
    <w:rsid w:val="0044571C"/>
    <w:rsid w:val="00446CF4"/>
    <w:rsid w:val="00446EEF"/>
    <w:rsid w:val="00446F56"/>
    <w:rsid w:val="004479B2"/>
    <w:rsid w:val="004507B8"/>
    <w:rsid w:val="0045113E"/>
    <w:rsid w:val="00453F25"/>
    <w:rsid w:val="00456B7C"/>
    <w:rsid w:val="004605D7"/>
    <w:rsid w:val="00460D04"/>
    <w:rsid w:val="00461482"/>
    <w:rsid w:val="004644FC"/>
    <w:rsid w:val="004652A9"/>
    <w:rsid w:val="00471D1F"/>
    <w:rsid w:val="00473F83"/>
    <w:rsid w:val="00474134"/>
    <w:rsid w:val="00475794"/>
    <w:rsid w:val="00481B86"/>
    <w:rsid w:val="00482653"/>
    <w:rsid w:val="00483658"/>
    <w:rsid w:val="00484B62"/>
    <w:rsid w:val="00486637"/>
    <w:rsid w:val="0048724A"/>
    <w:rsid w:val="00490CF5"/>
    <w:rsid w:val="004911E1"/>
    <w:rsid w:val="004916A6"/>
    <w:rsid w:val="00495B69"/>
    <w:rsid w:val="00497BCE"/>
    <w:rsid w:val="004A4E8B"/>
    <w:rsid w:val="004A5CAC"/>
    <w:rsid w:val="004B0CA8"/>
    <w:rsid w:val="004B1A8C"/>
    <w:rsid w:val="004B1B84"/>
    <w:rsid w:val="004B26E4"/>
    <w:rsid w:val="004B3E9A"/>
    <w:rsid w:val="004B41ED"/>
    <w:rsid w:val="004B430E"/>
    <w:rsid w:val="004B48EC"/>
    <w:rsid w:val="004B4D4C"/>
    <w:rsid w:val="004B4FF9"/>
    <w:rsid w:val="004B6731"/>
    <w:rsid w:val="004C07E2"/>
    <w:rsid w:val="004C1743"/>
    <w:rsid w:val="004C2CA1"/>
    <w:rsid w:val="004C483E"/>
    <w:rsid w:val="004C577A"/>
    <w:rsid w:val="004C7DBD"/>
    <w:rsid w:val="004D27FE"/>
    <w:rsid w:val="004D2DB4"/>
    <w:rsid w:val="004D3813"/>
    <w:rsid w:val="004D6E5B"/>
    <w:rsid w:val="004D7FC4"/>
    <w:rsid w:val="004E12FD"/>
    <w:rsid w:val="004E1BA0"/>
    <w:rsid w:val="004E2BC4"/>
    <w:rsid w:val="004E37F2"/>
    <w:rsid w:val="004E3D8C"/>
    <w:rsid w:val="004E6CDC"/>
    <w:rsid w:val="004E7614"/>
    <w:rsid w:val="004F31DE"/>
    <w:rsid w:val="004F49C3"/>
    <w:rsid w:val="004F67F1"/>
    <w:rsid w:val="004F709B"/>
    <w:rsid w:val="00501DA2"/>
    <w:rsid w:val="005033CD"/>
    <w:rsid w:val="00505459"/>
    <w:rsid w:val="00505B08"/>
    <w:rsid w:val="00506D4A"/>
    <w:rsid w:val="005078C1"/>
    <w:rsid w:val="00510B8B"/>
    <w:rsid w:val="00511594"/>
    <w:rsid w:val="005158C7"/>
    <w:rsid w:val="00515C2E"/>
    <w:rsid w:val="0051625F"/>
    <w:rsid w:val="0051628A"/>
    <w:rsid w:val="00517C9E"/>
    <w:rsid w:val="005258F3"/>
    <w:rsid w:val="005275CE"/>
    <w:rsid w:val="005308BD"/>
    <w:rsid w:val="00531069"/>
    <w:rsid w:val="005315DC"/>
    <w:rsid w:val="005319ED"/>
    <w:rsid w:val="00531CBB"/>
    <w:rsid w:val="00531D7F"/>
    <w:rsid w:val="00534806"/>
    <w:rsid w:val="00537A08"/>
    <w:rsid w:val="00537A10"/>
    <w:rsid w:val="00537CC8"/>
    <w:rsid w:val="0054132F"/>
    <w:rsid w:val="005418CB"/>
    <w:rsid w:val="00544689"/>
    <w:rsid w:val="0054646A"/>
    <w:rsid w:val="005474A1"/>
    <w:rsid w:val="005509F0"/>
    <w:rsid w:val="00551AED"/>
    <w:rsid w:val="00551E13"/>
    <w:rsid w:val="00552DF8"/>
    <w:rsid w:val="00553AD4"/>
    <w:rsid w:val="0055445A"/>
    <w:rsid w:val="00557C79"/>
    <w:rsid w:val="00560464"/>
    <w:rsid w:val="00562D76"/>
    <w:rsid w:val="00564810"/>
    <w:rsid w:val="00564C73"/>
    <w:rsid w:val="005674D4"/>
    <w:rsid w:val="005678C2"/>
    <w:rsid w:val="00567BA9"/>
    <w:rsid w:val="00571441"/>
    <w:rsid w:val="005728A8"/>
    <w:rsid w:val="0057358F"/>
    <w:rsid w:val="00576690"/>
    <w:rsid w:val="005768F3"/>
    <w:rsid w:val="005777D3"/>
    <w:rsid w:val="005836E5"/>
    <w:rsid w:val="0058433F"/>
    <w:rsid w:val="00584A52"/>
    <w:rsid w:val="00586CE3"/>
    <w:rsid w:val="00587EC2"/>
    <w:rsid w:val="00593058"/>
    <w:rsid w:val="005943DB"/>
    <w:rsid w:val="005970A6"/>
    <w:rsid w:val="005A08A1"/>
    <w:rsid w:val="005A17BB"/>
    <w:rsid w:val="005A3875"/>
    <w:rsid w:val="005A4EDB"/>
    <w:rsid w:val="005A61C1"/>
    <w:rsid w:val="005A6C4A"/>
    <w:rsid w:val="005A7697"/>
    <w:rsid w:val="005B00EA"/>
    <w:rsid w:val="005B05F1"/>
    <w:rsid w:val="005B0AEA"/>
    <w:rsid w:val="005B17A5"/>
    <w:rsid w:val="005B1B61"/>
    <w:rsid w:val="005B22AC"/>
    <w:rsid w:val="005B2745"/>
    <w:rsid w:val="005B2918"/>
    <w:rsid w:val="005B3F24"/>
    <w:rsid w:val="005B5A65"/>
    <w:rsid w:val="005B6536"/>
    <w:rsid w:val="005B6D50"/>
    <w:rsid w:val="005B78B8"/>
    <w:rsid w:val="005B7E59"/>
    <w:rsid w:val="005C0B1F"/>
    <w:rsid w:val="005C1FD1"/>
    <w:rsid w:val="005C2F89"/>
    <w:rsid w:val="005C3CEB"/>
    <w:rsid w:val="005C43CA"/>
    <w:rsid w:val="005C7564"/>
    <w:rsid w:val="005D016D"/>
    <w:rsid w:val="005D26C3"/>
    <w:rsid w:val="005D3329"/>
    <w:rsid w:val="005D402D"/>
    <w:rsid w:val="005D645D"/>
    <w:rsid w:val="005D730F"/>
    <w:rsid w:val="005D742D"/>
    <w:rsid w:val="005E07E9"/>
    <w:rsid w:val="005E13D2"/>
    <w:rsid w:val="005E19DC"/>
    <w:rsid w:val="005E2B53"/>
    <w:rsid w:val="005E2F23"/>
    <w:rsid w:val="005E4F75"/>
    <w:rsid w:val="005E52DA"/>
    <w:rsid w:val="005E5C91"/>
    <w:rsid w:val="005E629A"/>
    <w:rsid w:val="005E659D"/>
    <w:rsid w:val="005E71BF"/>
    <w:rsid w:val="005F1979"/>
    <w:rsid w:val="005F19D1"/>
    <w:rsid w:val="005F5BBA"/>
    <w:rsid w:val="005F6693"/>
    <w:rsid w:val="00601579"/>
    <w:rsid w:val="00602377"/>
    <w:rsid w:val="00603A9E"/>
    <w:rsid w:val="00603E33"/>
    <w:rsid w:val="0060422A"/>
    <w:rsid w:val="00605FB3"/>
    <w:rsid w:val="00606140"/>
    <w:rsid w:val="00607A81"/>
    <w:rsid w:val="006101A0"/>
    <w:rsid w:val="00611248"/>
    <w:rsid w:val="0061285A"/>
    <w:rsid w:val="00612AC5"/>
    <w:rsid w:val="0061314D"/>
    <w:rsid w:val="0061688F"/>
    <w:rsid w:val="0061778A"/>
    <w:rsid w:val="00621AD9"/>
    <w:rsid w:val="00625AB0"/>
    <w:rsid w:val="00626117"/>
    <w:rsid w:val="00631F05"/>
    <w:rsid w:val="00633496"/>
    <w:rsid w:val="006352A4"/>
    <w:rsid w:val="00635F29"/>
    <w:rsid w:val="00641767"/>
    <w:rsid w:val="00641C73"/>
    <w:rsid w:val="006448C9"/>
    <w:rsid w:val="00645692"/>
    <w:rsid w:val="0064582E"/>
    <w:rsid w:val="00646101"/>
    <w:rsid w:val="00646ECC"/>
    <w:rsid w:val="00646EFF"/>
    <w:rsid w:val="00647E2A"/>
    <w:rsid w:val="00650859"/>
    <w:rsid w:val="00650993"/>
    <w:rsid w:val="00653BB2"/>
    <w:rsid w:val="00655D62"/>
    <w:rsid w:val="0065758B"/>
    <w:rsid w:val="006600D0"/>
    <w:rsid w:val="006605D7"/>
    <w:rsid w:val="006655EC"/>
    <w:rsid w:val="00666DC4"/>
    <w:rsid w:val="00667EBE"/>
    <w:rsid w:val="00670547"/>
    <w:rsid w:val="006713A8"/>
    <w:rsid w:val="00675FAB"/>
    <w:rsid w:val="00676F65"/>
    <w:rsid w:val="00682CB7"/>
    <w:rsid w:val="00683525"/>
    <w:rsid w:val="006838F4"/>
    <w:rsid w:val="006846BC"/>
    <w:rsid w:val="00684D3B"/>
    <w:rsid w:val="0068555D"/>
    <w:rsid w:val="006910FF"/>
    <w:rsid w:val="006921D0"/>
    <w:rsid w:val="0069326C"/>
    <w:rsid w:val="006A1A77"/>
    <w:rsid w:val="006A1AFA"/>
    <w:rsid w:val="006A4305"/>
    <w:rsid w:val="006A7CCD"/>
    <w:rsid w:val="006A7CE1"/>
    <w:rsid w:val="006B00AB"/>
    <w:rsid w:val="006B0920"/>
    <w:rsid w:val="006B1EE1"/>
    <w:rsid w:val="006B2397"/>
    <w:rsid w:val="006B360E"/>
    <w:rsid w:val="006B6B3A"/>
    <w:rsid w:val="006B7CD4"/>
    <w:rsid w:val="006B7D2C"/>
    <w:rsid w:val="006C1A96"/>
    <w:rsid w:val="006C1BB0"/>
    <w:rsid w:val="006C5AF8"/>
    <w:rsid w:val="006C6F23"/>
    <w:rsid w:val="006D101C"/>
    <w:rsid w:val="006D4418"/>
    <w:rsid w:val="006D469C"/>
    <w:rsid w:val="006D51D2"/>
    <w:rsid w:val="006D5538"/>
    <w:rsid w:val="006D62D4"/>
    <w:rsid w:val="006E05EA"/>
    <w:rsid w:val="006E133E"/>
    <w:rsid w:val="006E21C3"/>
    <w:rsid w:val="006E42CF"/>
    <w:rsid w:val="006E42FE"/>
    <w:rsid w:val="006E554B"/>
    <w:rsid w:val="006E577C"/>
    <w:rsid w:val="006E5FC0"/>
    <w:rsid w:val="006E738F"/>
    <w:rsid w:val="006E7E99"/>
    <w:rsid w:val="006F4A02"/>
    <w:rsid w:val="006F4ED1"/>
    <w:rsid w:val="006F69FA"/>
    <w:rsid w:val="00702AC8"/>
    <w:rsid w:val="00704D03"/>
    <w:rsid w:val="00705AFE"/>
    <w:rsid w:val="00713440"/>
    <w:rsid w:val="00716131"/>
    <w:rsid w:val="00720770"/>
    <w:rsid w:val="007208DE"/>
    <w:rsid w:val="00720A60"/>
    <w:rsid w:val="00720C71"/>
    <w:rsid w:val="00725DB9"/>
    <w:rsid w:val="0072603A"/>
    <w:rsid w:val="00730051"/>
    <w:rsid w:val="0073212D"/>
    <w:rsid w:val="00732218"/>
    <w:rsid w:val="00733B9D"/>
    <w:rsid w:val="007367EC"/>
    <w:rsid w:val="007368CB"/>
    <w:rsid w:val="00737E47"/>
    <w:rsid w:val="007436EE"/>
    <w:rsid w:val="0074376B"/>
    <w:rsid w:val="00746AF3"/>
    <w:rsid w:val="0075022A"/>
    <w:rsid w:val="0075048E"/>
    <w:rsid w:val="007510C9"/>
    <w:rsid w:val="00751D06"/>
    <w:rsid w:val="00751D5F"/>
    <w:rsid w:val="0075343C"/>
    <w:rsid w:val="00754B14"/>
    <w:rsid w:val="0075578A"/>
    <w:rsid w:val="00756256"/>
    <w:rsid w:val="007571D0"/>
    <w:rsid w:val="00757C12"/>
    <w:rsid w:val="00761A16"/>
    <w:rsid w:val="007623AE"/>
    <w:rsid w:val="0076410D"/>
    <w:rsid w:val="00767466"/>
    <w:rsid w:val="00770C0B"/>
    <w:rsid w:val="00770D6A"/>
    <w:rsid w:val="00771589"/>
    <w:rsid w:val="00772400"/>
    <w:rsid w:val="0077449A"/>
    <w:rsid w:val="00775BED"/>
    <w:rsid w:val="007776B6"/>
    <w:rsid w:val="0077798E"/>
    <w:rsid w:val="0078036F"/>
    <w:rsid w:val="007824BD"/>
    <w:rsid w:val="00783063"/>
    <w:rsid w:val="00783C08"/>
    <w:rsid w:val="007841ED"/>
    <w:rsid w:val="007843D9"/>
    <w:rsid w:val="00786A7E"/>
    <w:rsid w:val="007877AD"/>
    <w:rsid w:val="007961D5"/>
    <w:rsid w:val="007973B8"/>
    <w:rsid w:val="007A1C38"/>
    <w:rsid w:val="007A346E"/>
    <w:rsid w:val="007A5DE4"/>
    <w:rsid w:val="007A6364"/>
    <w:rsid w:val="007A6EC9"/>
    <w:rsid w:val="007B0C96"/>
    <w:rsid w:val="007B2F6B"/>
    <w:rsid w:val="007B3E4E"/>
    <w:rsid w:val="007B6B1F"/>
    <w:rsid w:val="007B7465"/>
    <w:rsid w:val="007B7E85"/>
    <w:rsid w:val="007C0961"/>
    <w:rsid w:val="007C09FD"/>
    <w:rsid w:val="007C196F"/>
    <w:rsid w:val="007C2733"/>
    <w:rsid w:val="007C40C1"/>
    <w:rsid w:val="007C43B2"/>
    <w:rsid w:val="007C6B78"/>
    <w:rsid w:val="007D1698"/>
    <w:rsid w:val="007D221E"/>
    <w:rsid w:val="007D53D7"/>
    <w:rsid w:val="007D6DA2"/>
    <w:rsid w:val="007D79DE"/>
    <w:rsid w:val="007D7F8F"/>
    <w:rsid w:val="007E0108"/>
    <w:rsid w:val="007E0A0F"/>
    <w:rsid w:val="007E0F26"/>
    <w:rsid w:val="007E3279"/>
    <w:rsid w:val="007E3BFE"/>
    <w:rsid w:val="007E3CCF"/>
    <w:rsid w:val="007E4127"/>
    <w:rsid w:val="007E47C7"/>
    <w:rsid w:val="007E5CCB"/>
    <w:rsid w:val="007E6047"/>
    <w:rsid w:val="007E65F9"/>
    <w:rsid w:val="007F0162"/>
    <w:rsid w:val="007F4105"/>
    <w:rsid w:val="007F4E15"/>
    <w:rsid w:val="007F52A5"/>
    <w:rsid w:val="007F557B"/>
    <w:rsid w:val="007F5726"/>
    <w:rsid w:val="007F65B3"/>
    <w:rsid w:val="007F7ED5"/>
    <w:rsid w:val="00801CEF"/>
    <w:rsid w:val="0080353B"/>
    <w:rsid w:val="00805AD5"/>
    <w:rsid w:val="00807827"/>
    <w:rsid w:val="00810A4A"/>
    <w:rsid w:val="008138FD"/>
    <w:rsid w:val="00813D0C"/>
    <w:rsid w:val="00814E9A"/>
    <w:rsid w:val="0082141E"/>
    <w:rsid w:val="008236FF"/>
    <w:rsid w:val="0082382A"/>
    <w:rsid w:val="00825308"/>
    <w:rsid w:val="008260A4"/>
    <w:rsid w:val="00826F79"/>
    <w:rsid w:val="00827348"/>
    <w:rsid w:val="008308A2"/>
    <w:rsid w:val="00833404"/>
    <w:rsid w:val="00834590"/>
    <w:rsid w:val="008347A9"/>
    <w:rsid w:val="008358DC"/>
    <w:rsid w:val="00837A0E"/>
    <w:rsid w:val="00840003"/>
    <w:rsid w:val="0084020D"/>
    <w:rsid w:val="00841E10"/>
    <w:rsid w:val="008428C0"/>
    <w:rsid w:val="008456D4"/>
    <w:rsid w:val="008459CF"/>
    <w:rsid w:val="00847BDD"/>
    <w:rsid w:val="00851304"/>
    <w:rsid w:val="00851793"/>
    <w:rsid w:val="0085188E"/>
    <w:rsid w:val="00851AE2"/>
    <w:rsid w:val="00852555"/>
    <w:rsid w:val="008534C0"/>
    <w:rsid w:val="00854CA5"/>
    <w:rsid w:val="00856148"/>
    <w:rsid w:val="00856E69"/>
    <w:rsid w:val="008608AC"/>
    <w:rsid w:val="00861205"/>
    <w:rsid w:val="008615B5"/>
    <w:rsid w:val="00862F59"/>
    <w:rsid w:val="00863587"/>
    <w:rsid w:val="008645F6"/>
    <w:rsid w:val="00865132"/>
    <w:rsid w:val="008672AE"/>
    <w:rsid w:val="00877E60"/>
    <w:rsid w:val="0088075D"/>
    <w:rsid w:val="00880E79"/>
    <w:rsid w:val="00882455"/>
    <w:rsid w:val="00882A43"/>
    <w:rsid w:val="008840ED"/>
    <w:rsid w:val="00884F08"/>
    <w:rsid w:val="00885804"/>
    <w:rsid w:val="00890222"/>
    <w:rsid w:val="008907F5"/>
    <w:rsid w:val="008929AB"/>
    <w:rsid w:val="00892A0E"/>
    <w:rsid w:val="008A1EB1"/>
    <w:rsid w:val="008A2934"/>
    <w:rsid w:val="008A2BF5"/>
    <w:rsid w:val="008A3C25"/>
    <w:rsid w:val="008A61A3"/>
    <w:rsid w:val="008A63BC"/>
    <w:rsid w:val="008B1FC8"/>
    <w:rsid w:val="008B23E6"/>
    <w:rsid w:val="008B30F8"/>
    <w:rsid w:val="008B5EAC"/>
    <w:rsid w:val="008B6A92"/>
    <w:rsid w:val="008C09EA"/>
    <w:rsid w:val="008C0C7F"/>
    <w:rsid w:val="008C2743"/>
    <w:rsid w:val="008C6CF4"/>
    <w:rsid w:val="008D2848"/>
    <w:rsid w:val="008D4B0E"/>
    <w:rsid w:val="008D59DD"/>
    <w:rsid w:val="008D5C20"/>
    <w:rsid w:val="008D7341"/>
    <w:rsid w:val="008D7EC1"/>
    <w:rsid w:val="008E19C0"/>
    <w:rsid w:val="008E28DE"/>
    <w:rsid w:val="008E29AF"/>
    <w:rsid w:val="008E48F0"/>
    <w:rsid w:val="008F0399"/>
    <w:rsid w:val="008F3AE9"/>
    <w:rsid w:val="008F40BF"/>
    <w:rsid w:val="008F4522"/>
    <w:rsid w:val="00900B06"/>
    <w:rsid w:val="00900ECB"/>
    <w:rsid w:val="00900F02"/>
    <w:rsid w:val="00903D1D"/>
    <w:rsid w:val="00904CA9"/>
    <w:rsid w:val="00906450"/>
    <w:rsid w:val="00910CF7"/>
    <w:rsid w:val="00911AF0"/>
    <w:rsid w:val="009124DB"/>
    <w:rsid w:val="009125FC"/>
    <w:rsid w:val="009136A4"/>
    <w:rsid w:val="0091454E"/>
    <w:rsid w:val="0091455A"/>
    <w:rsid w:val="00915945"/>
    <w:rsid w:val="00915D50"/>
    <w:rsid w:val="00921060"/>
    <w:rsid w:val="00921145"/>
    <w:rsid w:val="00922113"/>
    <w:rsid w:val="009247FD"/>
    <w:rsid w:val="00926E6F"/>
    <w:rsid w:val="0093122F"/>
    <w:rsid w:val="009332EA"/>
    <w:rsid w:val="0093647D"/>
    <w:rsid w:val="00936541"/>
    <w:rsid w:val="00936E91"/>
    <w:rsid w:val="00936F62"/>
    <w:rsid w:val="009406B5"/>
    <w:rsid w:val="00940ED2"/>
    <w:rsid w:val="00941B23"/>
    <w:rsid w:val="00943FFB"/>
    <w:rsid w:val="009456C2"/>
    <w:rsid w:val="00951DEC"/>
    <w:rsid w:val="00952490"/>
    <w:rsid w:val="009524DF"/>
    <w:rsid w:val="00952B30"/>
    <w:rsid w:val="00952E9B"/>
    <w:rsid w:val="00955BED"/>
    <w:rsid w:val="009579A4"/>
    <w:rsid w:val="00960B0C"/>
    <w:rsid w:val="009651E6"/>
    <w:rsid w:val="009712DF"/>
    <w:rsid w:val="009720D9"/>
    <w:rsid w:val="00972D10"/>
    <w:rsid w:val="009746DC"/>
    <w:rsid w:val="00975678"/>
    <w:rsid w:val="0097696A"/>
    <w:rsid w:val="009812B3"/>
    <w:rsid w:val="00982244"/>
    <w:rsid w:val="009823AE"/>
    <w:rsid w:val="009853EB"/>
    <w:rsid w:val="00985C86"/>
    <w:rsid w:val="00987B5A"/>
    <w:rsid w:val="009903E1"/>
    <w:rsid w:val="00990DA8"/>
    <w:rsid w:val="0099313E"/>
    <w:rsid w:val="00993C54"/>
    <w:rsid w:val="00994DA4"/>
    <w:rsid w:val="00995BF7"/>
    <w:rsid w:val="00997DED"/>
    <w:rsid w:val="009A1637"/>
    <w:rsid w:val="009A30B1"/>
    <w:rsid w:val="009A66E0"/>
    <w:rsid w:val="009B1057"/>
    <w:rsid w:val="009B152D"/>
    <w:rsid w:val="009B24BB"/>
    <w:rsid w:val="009B3183"/>
    <w:rsid w:val="009B5720"/>
    <w:rsid w:val="009B5DF0"/>
    <w:rsid w:val="009B64DC"/>
    <w:rsid w:val="009C2228"/>
    <w:rsid w:val="009C469B"/>
    <w:rsid w:val="009D1A03"/>
    <w:rsid w:val="009D1EC7"/>
    <w:rsid w:val="009D2873"/>
    <w:rsid w:val="009D33C5"/>
    <w:rsid w:val="009E40FE"/>
    <w:rsid w:val="009E50D6"/>
    <w:rsid w:val="009F044A"/>
    <w:rsid w:val="009F0A38"/>
    <w:rsid w:val="009F6DA2"/>
    <w:rsid w:val="009F6DF0"/>
    <w:rsid w:val="00A010CB"/>
    <w:rsid w:val="00A0215A"/>
    <w:rsid w:val="00A02AF2"/>
    <w:rsid w:val="00A058BB"/>
    <w:rsid w:val="00A07CE1"/>
    <w:rsid w:val="00A10F24"/>
    <w:rsid w:val="00A11088"/>
    <w:rsid w:val="00A15EEA"/>
    <w:rsid w:val="00A23018"/>
    <w:rsid w:val="00A233FA"/>
    <w:rsid w:val="00A240A9"/>
    <w:rsid w:val="00A257BA"/>
    <w:rsid w:val="00A26713"/>
    <w:rsid w:val="00A33435"/>
    <w:rsid w:val="00A36009"/>
    <w:rsid w:val="00A378B3"/>
    <w:rsid w:val="00A50377"/>
    <w:rsid w:val="00A51CCB"/>
    <w:rsid w:val="00A523D4"/>
    <w:rsid w:val="00A5412A"/>
    <w:rsid w:val="00A54800"/>
    <w:rsid w:val="00A5595A"/>
    <w:rsid w:val="00A55A18"/>
    <w:rsid w:val="00A56D06"/>
    <w:rsid w:val="00A57B51"/>
    <w:rsid w:val="00A62FA3"/>
    <w:rsid w:val="00A650B4"/>
    <w:rsid w:val="00A66011"/>
    <w:rsid w:val="00A66A3D"/>
    <w:rsid w:val="00A671D1"/>
    <w:rsid w:val="00A7059A"/>
    <w:rsid w:val="00A705F9"/>
    <w:rsid w:val="00A715A4"/>
    <w:rsid w:val="00A729A9"/>
    <w:rsid w:val="00A75934"/>
    <w:rsid w:val="00A76F35"/>
    <w:rsid w:val="00A82345"/>
    <w:rsid w:val="00A8310B"/>
    <w:rsid w:val="00A83211"/>
    <w:rsid w:val="00A842C3"/>
    <w:rsid w:val="00A843B3"/>
    <w:rsid w:val="00A84BB8"/>
    <w:rsid w:val="00A93821"/>
    <w:rsid w:val="00A94046"/>
    <w:rsid w:val="00A9407F"/>
    <w:rsid w:val="00A96E2C"/>
    <w:rsid w:val="00AA0E09"/>
    <w:rsid w:val="00AA19E9"/>
    <w:rsid w:val="00AA6232"/>
    <w:rsid w:val="00AB1473"/>
    <w:rsid w:val="00AB15AE"/>
    <w:rsid w:val="00AB20A3"/>
    <w:rsid w:val="00AB2679"/>
    <w:rsid w:val="00AB3A58"/>
    <w:rsid w:val="00AB3ECC"/>
    <w:rsid w:val="00AB3FD8"/>
    <w:rsid w:val="00AB5236"/>
    <w:rsid w:val="00AB68EA"/>
    <w:rsid w:val="00AC0153"/>
    <w:rsid w:val="00AC0DA6"/>
    <w:rsid w:val="00AD2052"/>
    <w:rsid w:val="00AD38B8"/>
    <w:rsid w:val="00AD449F"/>
    <w:rsid w:val="00AD716F"/>
    <w:rsid w:val="00AE14CC"/>
    <w:rsid w:val="00AE3CF0"/>
    <w:rsid w:val="00AE5979"/>
    <w:rsid w:val="00AE5B3D"/>
    <w:rsid w:val="00AE7A35"/>
    <w:rsid w:val="00AF0395"/>
    <w:rsid w:val="00AF15ED"/>
    <w:rsid w:val="00AF33D6"/>
    <w:rsid w:val="00AF5278"/>
    <w:rsid w:val="00AF672C"/>
    <w:rsid w:val="00AF7978"/>
    <w:rsid w:val="00B0261D"/>
    <w:rsid w:val="00B0337F"/>
    <w:rsid w:val="00B0512B"/>
    <w:rsid w:val="00B10460"/>
    <w:rsid w:val="00B11AA4"/>
    <w:rsid w:val="00B14D0F"/>
    <w:rsid w:val="00B1650A"/>
    <w:rsid w:val="00B16AE6"/>
    <w:rsid w:val="00B17123"/>
    <w:rsid w:val="00B24F3C"/>
    <w:rsid w:val="00B26958"/>
    <w:rsid w:val="00B30986"/>
    <w:rsid w:val="00B33EA9"/>
    <w:rsid w:val="00B34053"/>
    <w:rsid w:val="00B34518"/>
    <w:rsid w:val="00B34DFD"/>
    <w:rsid w:val="00B35613"/>
    <w:rsid w:val="00B36D53"/>
    <w:rsid w:val="00B417EF"/>
    <w:rsid w:val="00B43060"/>
    <w:rsid w:val="00B43CE5"/>
    <w:rsid w:val="00B43E06"/>
    <w:rsid w:val="00B450DA"/>
    <w:rsid w:val="00B45DD6"/>
    <w:rsid w:val="00B4794C"/>
    <w:rsid w:val="00B50090"/>
    <w:rsid w:val="00B51660"/>
    <w:rsid w:val="00B519E7"/>
    <w:rsid w:val="00B5212C"/>
    <w:rsid w:val="00B52D77"/>
    <w:rsid w:val="00B532F0"/>
    <w:rsid w:val="00B5340D"/>
    <w:rsid w:val="00B53691"/>
    <w:rsid w:val="00B54031"/>
    <w:rsid w:val="00B55074"/>
    <w:rsid w:val="00B56119"/>
    <w:rsid w:val="00B57873"/>
    <w:rsid w:val="00B57A58"/>
    <w:rsid w:val="00B61B76"/>
    <w:rsid w:val="00B61F64"/>
    <w:rsid w:val="00B62129"/>
    <w:rsid w:val="00B6241D"/>
    <w:rsid w:val="00B63816"/>
    <w:rsid w:val="00B640A4"/>
    <w:rsid w:val="00B64E71"/>
    <w:rsid w:val="00B6775A"/>
    <w:rsid w:val="00B67D17"/>
    <w:rsid w:val="00B7184C"/>
    <w:rsid w:val="00B72F85"/>
    <w:rsid w:val="00B73E4B"/>
    <w:rsid w:val="00B77B0A"/>
    <w:rsid w:val="00B77CDA"/>
    <w:rsid w:val="00B8076A"/>
    <w:rsid w:val="00B8108B"/>
    <w:rsid w:val="00B82F4C"/>
    <w:rsid w:val="00B83404"/>
    <w:rsid w:val="00B83A16"/>
    <w:rsid w:val="00B85CD9"/>
    <w:rsid w:val="00B8652E"/>
    <w:rsid w:val="00B90C97"/>
    <w:rsid w:val="00B915D0"/>
    <w:rsid w:val="00B917E5"/>
    <w:rsid w:val="00B91999"/>
    <w:rsid w:val="00B93309"/>
    <w:rsid w:val="00B94AD6"/>
    <w:rsid w:val="00B95122"/>
    <w:rsid w:val="00B95350"/>
    <w:rsid w:val="00B95B19"/>
    <w:rsid w:val="00B9609B"/>
    <w:rsid w:val="00B962F8"/>
    <w:rsid w:val="00BA0EC9"/>
    <w:rsid w:val="00BA34E2"/>
    <w:rsid w:val="00BA37EC"/>
    <w:rsid w:val="00BA3DD2"/>
    <w:rsid w:val="00BA3FA7"/>
    <w:rsid w:val="00BA70EA"/>
    <w:rsid w:val="00BB21EC"/>
    <w:rsid w:val="00BB21EF"/>
    <w:rsid w:val="00BB4D82"/>
    <w:rsid w:val="00BB54E8"/>
    <w:rsid w:val="00BB6554"/>
    <w:rsid w:val="00BB7682"/>
    <w:rsid w:val="00BB7D10"/>
    <w:rsid w:val="00BC0114"/>
    <w:rsid w:val="00BC1440"/>
    <w:rsid w:val="00BC1C96"/>
    <w:rsid w:val="00BC296E"/>
    <w:rsid w:val="00BC468A"/>
    <w:rsid w:val="00BD0012"/>
    <w:rsid w:val="00BD0727"/>
    <w:rsid w:val="00BD0F41"/>
    <w:rsid w:val="00BD2221"/>
    <w:rsid w:val="00BD4373"/>
    <w:rsid w:val="00BD75BD"/>
    <w:rsid w:val="00BE08C4"/>
    <w:rsid w:val="00BE2E56"/>
    <w:rsid w:val="00BE3B18"/>
    <w:rsid w:val="00BE4844"/>
    <w:rsid w:val="00BE4FFB"/>
    <w:rsid w:val="00BE5F82"/>
    <w:rsid w:val="00BE6852"/>
    <w:rsid w:val="00BE6C94"/>
    <w:rsid w:val="00BF0565"/>
    <w:rsid w:val="00BF16EF"/>
    <w:rsid w:val="00BF2688"/>
    <w:rsid w:val="00BF3CDD"/>
    <w:rsid w:val="00BF3D18"/>
    <w:rsid w:val="00BF4971"/>
    <w:rsid w:val="00BF748D"/>
    <w:rsid w:val="00C01BE4"/>
    <w:rsid w:val="00C02177"/>
    <w:rsid w:val="00C02D9B"/>
    <w:rsid w:val="00C04B70"/>
    <w:rsid w:val="00C05457"/>
    <w:rsid w:val="00C05620"/>
    <w:rsid w:val="00C06339"/>
    <w:rsid w:val="00C079AE"/>
    <w:rsid w:val="00C106F4"/>
    <w:rsid w:val="00C10CDC"/>
    <w:rsid w:val="00C12CAC"/>
    <w:rsid w:val="00C1639F"/>
    <w:rsid w:val="00C17027"/>
    <w:rsid w:val="00C17CC8"/>
    <w:rsid w:val="00C20C43"/>
    <w:rsid w:val="00C210B7"/>
    <w:rsid w:val="00C224FF"/>
    <w:rsid w:val="00C2337D"/>
    <w:rsid w:val="00C250AD"/>
    <w:rsid w:val="00C270EB"/>
    <w:rsid w:val="00C32063"/>
    <w:rsid w:val="00C33AFC"/>
    <w:rsid w:val="00C34DC5"/>
    <w:rsid w:val="00C405D3"/>
    <w:rsid w:val="00C40BE7"/>
    <w:rsid w:val="00C4453A"/>
    <w:rsid w:val="00C45268"/>
    <w:rsid w:val="00C4744E"/>
    <w:rsid w:val="00C47B85"/>
    <w:rsid w:val="00C566F3"/>
    <w:rsid w:val="00C60A85"/>
    <w:rsid w:val="00C63C30"/>
    <w:rsid w:val="00C640B1"/>
    <w:rsid w:val="00C654C0"/>
    <w:rsid w:val="00C65EB9"/>
    <w:rsid w:val="00C71455"/>
    <w:rsid w:val="00C76441"/>
    <w:rsid w:val="00C801E0"/>
    <w:rsid w:val="00C81095"/>
    <w:rsid w:val="00C827CC"/>
    <w:rsid w:val="00C85952"/>
    <w:rsid w:val="00C874E0"/>
    <w:rsid w:val="00C90225"/>
    <w:rsid w:val="00C91D37"/>
    <w:rsid w:val="00C92749"/>
    <w:rsid w:val="00C945A0"/>
    <w:rsid w:val="00C952FE"/>
    <w:rsid w:val="00C95B6A"/>
    <w:rsid w:val="00C96479"/>
    <w:rsid w:val="00CA07E0"/>
    <w:rsid w:val="00CA3792"/>
    <w:rsid w:val="00CA4EAF"/>
    <w:rsid w:val="00CA6404"/>
    <w:rsid w:val="00CB017D"/>
    <w:rsid w:val="00CB0B9D"/>
    <w:rsid w:val="00CB0C2D"/>
    <w:rsid w:val="00CB2E24"/>
    <w:rsid w:val="00CB4583"/>
    <w:rsid w:val="00CC0D3B"/>
    <w:rsid w:val="00CC1E8D"/>
    <w:rsid w:val="00CC385A"/>
    <w:rsid w:val="00CC4E63"/>
    <w:rsid w:val="00CC4F28"/>
    <w:rsid w:val="00CC545F"/>
    <w:rsid w:val="00CC5C94"/>
    <w:rsid w:val="00CC7027"/>
    <w:rsid w:val="00CD1DF2"/>
    <w:rsid w:val="00CD24A4"/>
    <w:rsid w:val="00CD333B"/>
    <w:rsid w:val="00CD4D47"/>
    <w:rsid w:val="00CE0997"/>
    <w:rsid w:val="00CE1411"/>
    <w:rsid w:val="00CE16DE"/>
    <w:rsid w:val="00CE20EF"/>
    <w:rsid w:val="00CE4AE4"/>
    <w:rsid w:val="00CE5505"/>
    <w:rsid w:val="00CE5B69"/>
    <w:rsid w:val="00CE779E"/>
    <w:rsid w:val="00CF1DF7"/>
    <w:rsid w:val="00CF2A50"/>
    <w:rsid w:val="00CF2B60"/>
    <w:rsid w:val="00CF75FF"/>
    <w:rsid w:val="00D00FFE"/>
    <w:rsid w:val="00D0391B"/>
    <w:rsid w:val="00D03AB3"/>
    <w:rsid w:val="00D04F7A"/>
    <w:rsid w:val="00D050B8"/>
    <w:rsid w:val="00D050C2"/>
    <w:rsid w:val="00D05350"/>
    <w:rsid w:val="00D05D65"/>
    <w:rsid w:val="00D06090"/>
    <w:rsid w:val="00D10301"/>
    <w:rsid w:val="00D13D03"/>
    <w:rsid w:val="00D13D31"/>
    <w:rsid w:val="00D14C10"/>
    <w:rsid w:val="00D16FD7"/>
    <w:rsid w:val="00D22AA6"/>
    <w:rsid w:val="00D23017"/>
    <w:rsid w:val="00D23E80"/>
    <w:rsid w:val="00D2437E"/>
    <w:rsid w:val="00D259B8"/>
    <w:rsid w:val="00D27EEC"/>
    <w:rsid w:val="00D32AC3"/>
    <w:rsid w:val="00D334DC"/>
    <w:rsid w:val="00D352A9"/>
    <w:rsid w:val="00D363DA"/>
    <w:rsid w:val="00D36D06"/>
    <w:rsid w:val="00D40F87"/>
    <w:rsid w:val="00D41987"/>
    <w:rsid w:val="00D4198F"/>
    <w:rsid w:val="00D41FE8"/>
    <w:rsid w:val="00D42AA7"/>
    <w:rsid w:val="00D43AB3"/>
    <w:rsid w:val="00D442CD"/>
    <w:rsid w:val="00D4442F"/>
    <w:rsid w:val="00D4573C"/>
    <w:rsid w:val="00D459BB"/>
    <w:rsid w:val="00D50829"/>
    <w:rsid w:val="00D50DC7"/>
    <w:rsid w:val="00D510B4"/>
    <w:rsid w:val="00D51BA9"/>
    <w:rsid w:val="00D51C4E"/>
    <w:rsid w:val="00D51D02"/>
    <w:rsid w:val="00D520FF"/>
    <w:rsid w:val="00D531B9"/>
    <w:rsid w:val="00D533A5"/>
    <w:rsid w:val="00D53AD7"/>
    <w:rsid w:val="00D569D2"/>
    <w:rsid w:val="00D56C30"/>
    <w:rsid w:val="00D57374"/>
    <w:rsid w:val="00D57818"/>
    <w:rsid w:val="00D6222D"/>
    <w:rsid w:val="00D62484"/>
    <w:rsid w:val="00D63BFC"/>
    <w:rsid w:val="00D63D36"/>
    <w:rsid w:val="00D65249"/>
    <w:rsid w:val="00D66FAA"/>
    <w:rsid w:val="00D72602"/>
    <w:rsid w:val="00D72B58"/>
    <w:rsid w:val="00D7411B"/>
    <w:rsid w:val="00D74873"/>
    <w:rsid w:val="00D774C5"/>
    <w:rsid w:val="00D80D4D"/>
    <w:rsid w:val="00D813E7"/>
    <w:rsid w:val="00D82FA5"/>
    <w:rsid w:val="00D837D3"/>
    <w:rsid w:val="00D8529E"/>
    <w:rsid w:val="00D85854"/>
    <w:rsid w:val="00D86BFA"/>
    <w:rsid w:val="00D86C0E"/>
    <w:rsid w:val="00D95143"/>
    <w:rsid w:val="00D951C3"/>
    <w:rsid w:val="00D96ABB"/>
    <w:rsid w:val="00D97822"/>
    <w:rsid w:val="00DA0C16"/>
    <w:rsid w:val="00DA0E0D"/>
    <w:rsid w:val="00DA10D1"/>
    <w:rsid w:val="00DA2CE5"/>
    <w:rsid w:val="00DA5F58"/>
    <w:rsid w:val="00DA63CD"/>
    <w:rsid w:val="00DB2B50"/>
    <w:rsid w:val="00DB5C1E"/>
    <w:rsid w:val="00DB6B16"/>
    <w:rsid w:val="00DB6D0B"/>
    <w:rsid w:val="00DB79D6"/>
    <w:rsid w:val="00DC029E"/>
    <w:rsid w:val="00DC0BA5"/>
    <w:rsid w:val="00DC586D"/>
    <w:rsid w:val="00DC7B71"/>
    <w:rsid w:val="00DD01E7"/>
    <w:rsid w:val="00DD0BDF"/>
    <w:rsid w:val="00DD517B"/>
    <w:rsid w:val="00DD6F1A"/>
    <w:rsid w:val="00DE52A0"/>
    <w:rsid w:val="00DE6987"/>
    <w:rsid w:val="00DE7256"/>
    <w:rsid w:val="00DF0359"/>
    <w:rsid w:val="00DF07AF"/>
    <w:rsid w:val="00DF154A"/>
    <w:rsid w:val="00DF1E6E"/>
    <w:rsid w:val="00DF21A3"/>
    <w:rsid w:val="00DF2716"/>
    <w:rsid w:val="00DF593C"/>
    <w:rsid w:val="00DF60A1"/>
    <w:rsid w:val="00DF7200"/>
    <w:rsid w:val="00E009B6"/>
    <w:rsid w:val="00E01257"/>
    <w:rsid w:val="00E02C0A"/>
    <w:rsid w:val="00E04A4D"/>
    <w:rsid w:val="00E05E9F"/>
    <w:rsid w:val="00E062C9"/>
    <w:rsid w:val="00E06F8C"/>
    <w:rsid w:val="00E07ADB"/>
    <w:rsid w:val="00E11E55"/>
    <w:rsid w:val="00E13801"/>
    <w:rsid w:val="00E13922"/>
    <w:rsid w:val="00E13CE1"/>
    <w:rsid w:val="00E149F7"/>
    <w:rsid w:val="00E179F9"/>
    <w:rsid w:val="00E21C63"/>
    <w:rsid w:val="00E26625"/>
    <w:rsid w:val="00E27461"/>
    <w:rsid w:val="00E2785B"/>
    <w:rsid w:val="00E306BF"/>
    <w:rsid w:val="00E30B60"/>
    <w:rsid w:val="00E31585"/>
    <w:rsid w:val="00E329D2"/>
    <w:rsid w:val="00E32BF8"/>
    <w:rsid w:val="00E34069"/>
    <w:rsid w:val="00E349D3"/>
    <w:rsid w:val="00E3560A"/>
    <w:rsid w:val="00E374C2"/>
    <w:rsid w:val="00E40FF8"/>
    <w:rsid w:val="00E41E31"/>
    <w:rsid w:val="00E42968"/>
    <w:rsid w:val="00E47EF4"/>
    <w:rsid w:val="00E50487"/>
    <w:rsid w:val="00E515AA"/>
    <w:rsid w:val="00E524FD"/>
    <w:rsid w:val="00E5321D"/>
    <w:rsid w:val="00E5495E"/>
    <w:rsid w:val="00E54C24"/>
    <w:rsid w:val="00E54CE8"/>
    <w:rsid w:val="00E54EDE"/>
    <w:rsid w:val="00E553D5"/>
    <w:rsid w:val="00E575E5"/>
    <w:rsid w:val="00E57A4F"/>
    <w:rsid w:val="00E57B62"/>
    <w:rsid w:val="00E60E93"/>
    <w:rsid w:val="00E621C4"/>
    <w:rsid w:val="00E64CBE"/>
    <w:rsid w:val="00E67CAE"/>
    <w:rsid w:val="00E701EC"/>
    <w:rsid w:val="00E718F1"/>
    <w:rsid w:val="00E74591"/>
    <w:rsid w:val="00E75410"/>
    <w:rsid w:val="00E77C09"/>
    <w:rsid w:val="00E80F28"/>
    <w:rsid w:val="00E836F0"/>
    <w:rsid w:val="00E86527"/>
    <w:rsid w:val="00E876BB"/>
    <w:rsid w:val="00E918F5"/>
    <w:rsid w:val="00E9243E"/>
    <w:rsid w:val="00E94DC5"/>
    <w:rsid w:val="00E97880"/>
    <w:rsid w:val="00EA0B2D"/>
    <w:rsid w:val="00EA16D8"/>
    <w:rsid w:val="00EA2AE2"/>
    <w:rsid w:val="00EA3DE3"/>
    <w:rsid w:val="00EB0550"/>
    <w:rsid w:val="00EB0688"/>
    <w:rsid w:val="00EB0732"/>
    <w:rsid w:val="00EB179A"/>
    <w:rsid w:val="00EB3021"/>
    <w:rsid w:val="00EB43CB"/>
    <w:rsid w:val="00EC0CFD"/>
    <w:rsid w:val="00EC269F"/>
    <w:rsid w:val="00EC2939"/>
    <w:rsid w:val="00EC37A3"/>
    <w:rsid w:val="00EC440B"/>
    <w:rsid w:val="00EC4608"/>
    <w:rsid w:val="00EC4B96"/>
    <w:rsid w:val="00EC4C79"/>
    <w:rsid w:val="00EC4E01"/>
    <w:rsid w:val="00EC60F4"/>
    <w:rsid w:val="00EC6B82"/>
    <w:rsid w:val="00EC6FDB"/>
    <w:rsid w:val="00ED0691"/>
    <w:rsid w:val="00ED0E7F"/>
    <w:rsid w:val="00ED16CD"/>
    <w:rsid w:val="00ED21FE"/>
    <w:rsid w:val="00ED4C16"/>
    <w:rsid w:val="00ED507B"/>
    <w:rsid w:val="00ED5BBF"/>
    <w:rsid w:val="00ED7279"/>
    <w:rsid w:val="00EE21EB"/>
    <w:rsid w:val="00EE249A"/>
    <w:rsid w:val="00EE2545"/>
    <w:rsid w:val="00EE3097"/>
    <w:rsid w:val="00EE3136"/>
    <w:rsid w:val="00EE4868"/>
    <w:rsid w:val="00EE68C0"/>
    <w:rsid w:val="00EF08A2"/>
    <w:rsid w:val="00EF1BDD"/>
    <w:rsid w:val="00F009B3"/>
    <w:rsid w:val="00F00A91"/>
    <w:rsid w:val="00F015D2"/>
    <w:rsid w:val="00F01B04"/>
    <w:rsid w:val="00F05FA5"/>
    <w:rsid w:val="00F070E5"/>
    <w:rsid w:val="00F072C5"/>
    <w:rsid w:val="00F13E70"/>
    <w:rsid w:val="00F1597B"/>
    <w:rsid w:val="00F20A3E"/>
    <w:rsid w:val="00F22EA4"/>
    <w:rsid w:val="00F23E5A"/>
    <w:rsid w:val="00F25383"/>
    <w:rsid w:val="00F254C2"/>
    <w:rsid w:val="00F256E2"/>
    <w:rsid w:val="00F31D4C"/>
    <w:rsid w:val="00F31D9C"/>
    <w:rsid w:val="00F323BE"/>
    <w:rsid w:val="00F33C34"/>
    <w:rsid w:val="00F34E0A"/>
    <w:rsid w:val="00F375AF"/>
    <w:rsid w:val="00F41657"/>
    <w:rsid w:val="00F42F33"/>
    <w:rsid w:val="00F45277"/>
    <w:rsid w:val="00F46052"/>
    <w:rsid w:val="00F47CDB"/>
    <w:rsid w:val="00F56480"/>
    <w:rsid w:val="00F56832"/>
    <w:rsid w:val="00F5724D"/>
    <w:rsid w:val="00F60471"/>
    <w:rsid w:val="00F60856"/>
    <w:rsid w:val="00F60E51"/>
    <w:rsid w:val="00F663CC"/>
    <w:rsid w:val="00F741EB"/>
    <w:rsid w:val="00F7481C"/>
    <w:rsid w:val="00F76393"/>
    <w:rsid w:val="00F76A34"/>
    <w:rsid w:val="00F7765D"/>
    <w:rsid w:val="00F8015C"/>
    <w:rsid w:val="00F8358E"/>
    <w:rsid w:val="00F83E78"/>
    <w:rsid w:val="00F8628A"/>
    <w:rsid w:val="00F90836"/>
    <w:rsid w:val="00F91038"/>
    <w:rsid w:val="00F910E2"/>
    <w:rsid w:val="00F918D0"/>
    <w:rsid w:val="00F93E92"/>
    <w:rsid w:val="00F94C43"/>
    <w:rsid w:val="00F95882"/>
    <w:rsid w:val="00F963D8"/>
    <w:rsid w:val="00F96C07"/>
    <w:rsid w:val="00FA088E"/>
    <w:rsid w:val="00FA0F74"/>
    <w:rsid w:val="00FA1ED5"/>
    <w:rsid w:val="00FA47F1"/>
    <w:rsid w:val="00FA5287"/>
    <w:rsid w:val="00FA5CF8"/>
    <w:rsid w:val="00FA5D71"/>
    <w:rsid w:val="00FA68E4"/>
    <w:rsid w:val="00FB0C6A"/>
    <w:rsid w:val="00FB0CF7"/>
    <w:rsid w:val="00FB0D16"/>
    <w:rsid w:val="00FB0D60"/>
    <w:rsid w:val="00FB248C"/>
    <w:rsid w:val="00FB3427"/>
    <w:rsid w:val="00FB37E3"/>
    <w:rsid w:val="00FB7531"/>
    <w:rsid w:val="00FB76B3"/>
    <w:rsid w:val="00FC125B"/>
    <w:rsid w:val="00FC1CBA"/>
    <w:rsid w:val="00FC25AE"/>
    <w:rsid w:val="00FC557B"/>
    <w:rsid w:val="00FC604B"/>
    <w:rsid w:val="00FC60C2"/>
    <w:rsid w:val="00FC6204"/>
    <w:rsid w:val="00FC7F0A"/>
    <w:rsid w:val="00FD07AC"/>
    <w:rsid w:val="00FD0831"/>
    <w:rsid w:val="00FD0B40"/>
    <w:rsid w:val="00FD43BF"/>
    <w:rsid w:val="00FD50B1"/>
    <w:rsid w:val="00FE04CB"/>
    <w:rsid w:val="00FE17A9"/>
    <w:rsid w:val="00FE31D8"/>
    <w:rsid w:val="00FE3593"/>
    <w:rsid w:val="00FE48F4"/>
    <w:rsid w:val="00FE5697"/>
    <w:rsid w:val="00FE5D08"/>
    <w:rsid w:val="00FE6152"/>
    <w:rsid w:val="00FE6BA1"/>
    <w:rsid w:val="00FF082D"/>
    <w:rsid w:val="00FF0833"/>
    <w:rsid w:val="00FF1E65"/>
    <w:rsid w:val="00FF2B8F"/>
    <w:rsid w:val="00FF514C"/>
    <w:rsid w:val="00FF54A1"/>
    <w:rsid w:val="00FF6934"/>
    <w:rsid w:val="00FF7FD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2F355"/>
  <w15:docId w15:val="{D4C5A4FB-1074-4D54-9FF5-8FB2457C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6E2"/>
  </w:style>
  <w:style w:type="paragraph" w:styleId="Heading1">
    <w:name w:val="heading 1"/>
    <w:basedOn w:val="Normal"/>
    <w:next w:val="Normal"/>
    <w:link w:val="Heading1Char"/>
    <w:uiPriority w:val="9"/>
    <w:qFormat/>
    <w:rsid w:val="00863587"/>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D72B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AE2"/>
    <w:rPr>
      <w:color w:val="0000FF"/>
      <w:u w:val="single"/>
    </w:rPr>
  </w:style>
  <w:style w:type="paragraph" w:styleId="Header">
    <w:name w:val="header"/>
    <w:basedOn w:val="Normal"/>
    <w:link w:val="HeaderChar"/>
    <w:uiPriority w:val="99"/>
    <w:unhideWhenUsed/>
    <w:rsid w:val="006112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1248"/>
  </w:style>
  <w:style w:type="paragraph" w:styleId="Footer">
    <w:name w:val="footer"/>
    <w:basedOn w:val="Normal"/>
    <w:link w:val="FooterChar"/>
    <w:uiPriority w:val="99"/>
    <w:unhideWhenUsed/>
    <w:rsid w:val="006112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1248"/>
  </w:style>
  <w:style w:type="paragraph" w:styleId="NormalWeb">
    <w:name w:val="Normal (Web)"/>
    <w:basedOn w:val="Normal"/>
    <w:uiPriority w:val="99"/>
    <w:unhideWhenUsed/>
    <w:rsid w:val="001A7A2E"/>
    <w:pPr>
      <w:spacing w:before="100" w:beforeAutospacing="1" w:after="100" w:afterAutospacing="1" w:line="240" w:lineRule="auto"/>
    </w:pPr>
    <w:rPr>
      <w:rFonts w:ascii="Times New Roman" w:hAnsi="Times New Roman" w:cs="Times New Roman"/>
      <w:sz w:val="24"/>
      <w:szCs w:val="24"/>
      <w:lang w:eastAsia="bg-BG"/>
    </w:rPr>
  </w:style>
  <w:style w:type="paragraph" w:customStyle="1" w:styleId="htleft">
    <w:name w:val="htleft"/>
    <w:basedOn w:val="Normal"/>
    <w:rsid w:val="00AB14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qFormat/>
    <w:rsid w:val="00D837D3"/>
    <w:pPr>
      <w:ind w:left="708"/>
    </w:pPr>
    <w:rPr>
      <w:rFonts w:ascii="Calibri" w:eastAsia="Calibri" w:hAnsi="Calibri" w:cs="Times New Roman"/>
    </w:rPr>
  </w:style>
  <w:style w:type="paragraph" w:styleId="BalloonText">
    <w:name w:val="Balloon Text"/>
    <w:basedOn w:val="Normal"/>
    <w:link w:val="BalloonTextChar"/>
    <w:uiPriority w:val="99"/>
    <w:semiHidden/>
    <w:unhideWhenUsed/>
    <w:rsid w:val="00E57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B62"/>
    <w:rPr>
      <w:rFonts w:ascii="Tahoma" w:hAnsi="Tahoma" w:cs="Tahoma"/>
      <w:sz w:val="16"/>
      <w:szCs w:val="16"/>
    </w:rPr>
  </w:style>
  <w:style w:type="character" w:styleId="CommentReference">
    <w:name w:val="annotation reference"/>
    <w:basedOn w:val="DefaultParagraphFont"/>
    <w:uiPriority w:val="99"/>
    <w:semiHidden/>
    <w:unhideWhenUsed/>
    <w:rsid w:val="00702AC8"/>
    <w:rPr>
      <w:sz w:val="16"/>
      <w:szCs w:val="16"/>
    </w:rPr>
  </w:style>
  <w:style w:type="paragraph" w:styleId="CommentText">
    <w:name w:val="annotation text"/>
    <w:basedOn w:val="Normal"/>
    <w:link w:val="CommentTextChar"/>
    <w:uiPriority w:val="99"/>
    <w:semiHidden/>
    <w:unhideWhenUsed/>
    <w:rsid w:val="00702AC8"/>
    <w:pPr>
      <w:spacing w:line="240" w:lineRule="auto"/>
    </w:pPr>
    <w:rPr>
      <w:sz w:val="20"/>
      <w:szCs w:val="20"/>
    </w:rPr>
  </w:style>
  <w:style w:type="character" w:customStyle="1" w:styleId="CommentTextChar">
    <w:name w:val="Comment Text Char"/>
    <w:basedOn w:val="DefaultParagraphFont"/>
    <w:link w:val="CommentText"/>
    <w:uiPriority w:val="99"/>
    <w:semiHidden/>
    <w:rsid w:val="00702AC8"/>
    <w:rPr>
      <w:sz w:val="20"/>
      <w:szCs w:val="20"/>
    </w:rPr>
  </w:style>
  <w:style w:type="paragraph" w:styleId="CommentSubject">
    <w:name w:val="annotation subject"/>
    <w:basedOn w:val="CommentText"/>
    <w:next w:val="CommentText"/>
    <w:link w:val="CommentSubjectChar"/>
    <w:uiPriority w:val="99"/>
    <w:semiHidden/>
    <w:unhideWhenUsed/>
    <w:rsid w:val="00702AC8"/>
    <w:rPr>
      <w:b/>
      <w:bCs/>
    </w:rPr>
  </w:style>
  <w:style w:type="character" w:customStyle="1" w:styleId="CommentSubjectChar">
    <w:name w:val="Comment Subject Char"/>
    <w:basedOn w:val="CommentTextChar"/>
    <w:link w:val="CommentSubject"/>
    <w:uiPriority w:val="99"/>
    <w:semiHidden/>
    <w:rsid w:val="00702AC8"/>
    <w:rPr>
      <w:b/>
      <w:bCs/>
      <w:sz w:val="20"/>
      <w:szCs w:val="20"/>
    </w:rPr>
  </w:style>
  <w:style w:type="paragraph" w:customStyle="1" w:styleId="Default">
    <w:name w:val="Default"/>
    <w:rsid w:val="004131E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la2">
    <w:name w:val="al_a2"/>
    <w:rsid w:val="00C06339"/>
    <w:rPr>
      <w:vanish w:val="0"/>
      <w:webHidden w:val="0"/>
      <w:specVanish w:val="0"/>
    </w:rPr>
  </w:style>
  <w:style w:type="character" w:customStyle="1" w:styleId="UnresolvedMention1">
    <w:name w:val="Unresolved Mention1"/>
    <w:basedOn w:val="DefaultParagraphFont"/>
    <w:uiPriority w:val="99"/>
    <w:semiHidden/>
    <w:unhideWhenUsed/>
    <w:rsid w:val="00141C89"/>
    <w:rPr>
      <w:color w:val="605E5C"/>
      <w:shd w:val="clear" w:color="auto" w:fill="E1DFDD"/>
    </w:rPr>
  </w:style>
  <w:style w:type="character" w:customStyle="1" w:styleId="Heading1Char">
    <w:name w:val="Heading 1 Char"/>
    <w:basedOn w:val="DefaultParagraphFont"/>
    <w:link w:val="Heading1"/>
    <w:uiPriority w:val="9"/>
    <w:rsid w:val="00863587"/>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UnresolvedMention2">
    <w:name w:val="Unresolved Mention2"/>
    <w:basedOn w:val="DefaultParagraphFont"/>
    <w:uiPriority w:val="99"/>
    <w:semiHidden/>
    <w:unhideWhenUsed/>
    <w:rsid w:val="00333C17"/>
    <w:rPr>
      <w:color w:val="605E5C"/>
      <w:shd w:val="clear" w:color="auto" w:fill="E1DFDD"/>
    </w:rPr>
  </w:style>
  <w:style w:type="character" w:customStyle="1" w:styleId="Heading3Char">
    <w:name w:val="Heading 3 Char"/>
    <w:basedOn w:val="DefaultParagraphFont"/>
    <w:link w:val="Heading3"/>
    <w:uiPriority w:val="9"/>
    <w:semiHidden/>
    <w:rsid w:val="00D72B5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45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231">
      <w:bodyDiv w:val="1"/>
      <w:marLeft w:val="0"/>
      <w:marRight w:val="0"/>
      <w:marTop w:val="0"/>
      <w:marBottom w:val="0"/>
      <w:divBdr>
        <w:top w:val="none" w:sz="0" w:space="0" w:color="auto"/>
        <w:left w:val="none" w:sz="0" w:space="0" w:color="auto"/>
        <w:bottom w:val="none" w:sz="0" w:space="0" w:color="auto"/>
        <w:right w:val="none" w:sz="0" w:space="0" w:color="auto"/>
      </w:divBdr>
    </w:div>
    <w:div w:id="10108025">
      <w:bodyDiv w:val="1"/>
      <w:marLeft w:val="0"/>
      <w:marRight w:val="0"/>
      <w:marTop w:val="0"/>
      <w:marBottom w:val="0"/>
      <w:divBdr>
        <w:top w:val="none" w:sz="0" w:space="0" w:color="auto"/>
        <w:left w:val="none" w:sz="0" w:space="0" w:color="auto"/>
        <w:bottom w:val="none" w:sz="0" w:space="0" w:color="auto"/>
        <w:right w:val="none" w:sz="0" w:space="0" w:color="auto"/>
      </w:divBdr>
    </w:div>
    <w:div w:id="27726515">
      <w:bodyDiv w:val="1"/>
      <w:marLeft w:val="0"/>
      <w:marRight w:val="0"/>
      <w:marTop w:val="0"/>
      <w:marBottom w:val="0"/>
      <w:divBdr>
        <w:top w:val="none" w:sz="0" w:space="0" w:color="auto"/>
        <w:left w:val="none" w:sz="0" w:space="0" w:color="auto"/>
        <w:bottom w:val="none" w:sz="0" w:space="0" w:color="auto"/>
        <w:right w:val="none" w:sz="0" w:space="0" w:color="auto"/>
      </w:divBdr>
    </w:div>
    <w:div w:id="53744363">
      <w:bodyDiv w:val="1"/>
      <w:marLeft w:val="0"/>
      <w:marRight w:val="0"/>
      <w:marTop w:val="0"/>
      <w:marBottom w:val="0"/>
      <w:divBdr>
        <w:top w:val="none" w:sz="0" w:space="0" w:color="auto"/>
        <w:left w:val="none" w:sz="0" w:space="0" w:color="auto"/>
        <w:bottom w:val="none" w:sz="0" w:space="0" w:color="auto"/>
        <w:right w:val="none" w:sz="0" w:space="0" w:color="auto"/>
      </w:divBdr>
    </w:div>
    <w:div w:id="96609881">
      <w:bodyDiv w:val="1"/>
      <w:marLeft w:val="0"/>
      <w:marRight w:val="0"/>
      <w:marTop w:val="0"/>
      <w:marBottom w:val="0"/>
      <w:divBdr>
        <w:top w:val="none" w:sz="0" w:space="0" w:color="auto"/>
        <w:left w:val="none" w:sz="0" w:space="0" w:color="auto"/>
        <w:bottom w:val="none" w:sz="0" w:space="0" w:color="auto"/>
        <w:right w:val="none" w:sz="0" w:space="0" w:color="auto"/>
      </w:divBdr>
    </w:div>
    <w:div w:id="107822607">
      <w:bodyDiv w:val="1"/>
      <w:marLeft w:val="0"/>
      <w:marRight w:val="0"/>
      <w:marTop w:val="0"/>
      <w:marBottom w:val="0"/>
      <w:divBdr>
        <w:top w:val="none" w:sz="0" w:space="0" w:color="auto"/>
        <w:left w:val="none" w:sz="0" w:space="0" w:color="auto"/>
        <w:bottom w:val="none" w:sz="0" w:space="0" w:color="auto"/>
        <w:right w:val="none" w:sz="0" w:space="0" w:color="auto"/>
      </w:divBdr>
    </w:div>
    <w:div w:id="109863601">
      <w:bodyDiv w:val="1"/>
      <w:marLeft w:val="0"/>
      <w:marRight w:val="0"/>
      <w:marTop w:val="0"/>
      <w:marBottom w:val="0"/>
      <w:divBdr>
        <w:top w:val="none" w:sz="0" w:space="0" w:color="auto"/>
        <w:left w:val="none" w:sz="0" w:space="0" w:color="auto"/>
        <w:bottom w:val="none" w:sz="0" w:space="0" w:color="auto"/>
        <w:right w:val="none" w:sz="0" w:space="0" w:color="auto"/>
      </w:divBdr>
    </w:div>
    <w:div w:id="123273775">
      <w:bodyDiv w:val="1"/>
      <w:marLeft w:val="0"/>
      <w:marRight w:val="0"/>
      <w:marTop w:val="0"/>
      <w:marBottom w:val="0"/>
      <w:divBdr>
        <w:top w:val="none" w:sz="0" w:space="0" w:color="auto"/>
        <w:left w:val="none" w:sz="0" w:space="0" w:color="auto"/>
        <w:bottom w:val="none" w:sz="0" w:space="0" w:color="auto"/>
        <w:right w:val="none" w:sz="0" w:space="0" w:color="auto"/>
      </w:divBdr>
    </w:div>
    <w:div w:id="137889794">
      <w:bodyDiv w:val="1"/>
      <w:marLeft w:val="0"/>
      <w:marRight w:val="0"/>
      <w:marTop w:val="0"/>
      <w:marBottom w:val="0"/>
      <w:divBdr>
        <w:top w:val="none" w:sz="0" w:space="0" w:color="auto"/>
        <w:left w:val="none" w:sz="0" w:space="0" w:color="auto"/>
        <w:bottom w:val="none" w:sz="0" w:space="0" w:color="auto"/>
        <w:right w:val="none" w:sz="0" w:space="0" w:color="auto"/>
      </w:divBdr>
    </w:div>
    <w:div w:id="138497674">
      <w:bodyDiv w:val="1"/>
      <w:marLeft w:val="0"/>
      <w:marRight w:val="0"/>
      <w:marTop w:val="0"/>
      <w:marBottom w:val="0"/>
      <w:divBdr>
        <w:top w:val="none" w:sz="0" w:space="0" w:color="auto"/>
        <w:left w:val="none" w:sz="0" w:space="0" w:color="auto"/>
        <w:bottom w:val="none" w:sz="0" w:space="0" w:color="auto"/>
        <w:right w:val="none" w:sz="0" w:space="0" w:color="auto"/>
      </w:divBdr>
    </w:div>
    <w:div w:id="163209505">
      <w:bodyDiv w:val="1"/>
      <w:marLeft w:val="0"/>
      <w:marRight w:val="0"/>
      <w:marTop w:val="0"/>
      <w:marBottom w:val="0"/>
      <w:divBdr>
        <w:top w:val="none" w:sz="0" w:space="0" w:color="auto"/>
        <w:left w:val="none" w:sz="0" w:space="0" w:color="auto"/>
        <w:bottom w:val="none" w:sz="0" w:space="0" w:color="auto"/>
        <w:right w:val="none" w:sz="0" w:space="0" w:color="auto"/>
      </w:divBdr>
      <w:divsChild>
        <w:div w:id="36360481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1286392">
      <w:bodyDiv w:val="1"/>
      <w:marLeft w:val="0"/>
      <w:marRight w:val="0"/>
      <w:marTop w:val="0"/>
      <w:marBottom w:val="0"/>
      <w:divBdr>
        <w:top w:val="none" w:sz="0" w:space="0" w:color="auto"/>
        <w:left w:val="none" w:sz="0" w:space="0" w:color="auto"/>
        <w:bottom w:val="none" w:sz="0" w:space="0" w:color="auto"/>
        <w:right w:val="none" w:sz="0" w:space="0" w:color="auto"/>
      </w:divBdr>
    </w:div>
    <w:div w:id="184901503">
      <w:bodyDiv w:val="1"/>
      <w:marLeft w:val="0"/>
      <w:marRight w:val="0"/>
      <w:marTop w:val="0"/>
      <w:marBottom w:val="0"/>
      <w:divBdr>
        <w:top w:val="none" w:sz="0" w:space="0" w:color="auto"/>
        <w:left w:val="none" w:sz="0" w:space="0" w:color="auto"/>
        <w:bottom w:val="none" w:sz="0" w:space="0" w:color="auto"/>
        <w:right w:val="none" w:sz="0" w:space="0" w:color="auto"/>
      </w:divBdr>
    </w:div>
    <w:div w:id="190654708">
      <w:bodyDiv w:val="1"/>
      <w:marLeft w:val="0"/>
      <w:marRight w:val="0"/>
      <w:marTop w:val="0"/>
      <w:marBottom w:val="0"/>
      <w:divBdr>
        <w:top w:val="none" w:sz="0" w:space="0" w:color="auto"/>
        <w:left w:val="none" w:sz="0" w:space="0" w:color="auto"/>
        <w:bottom w:val="none" w:sz="0" w:space="0" w:color="auto"/>
        <w:right w:val="none" w:sz="0" w:space="0" w:color="auto"/>
      </w:divBdr>
    </w:div>
    <w:div w:id="199779608">
      <w:bodyDiv w:val="1"/>
      <w:marLeft w:val="0"/>
      <w:marRight w:val="0"/>
      <w:marTop w:val="0"/>
      <w:marBottom w:val="0"/>
      <w:divBdr>
        <w:top w:val="none" w:sz="0" w:space="0" w:color="auto"/>
        <w:left w:val="none" w:sz="0" w:space="0" w:color="auto"/>
        <w:bottom w:val="none" w:sz="0" w:space="0" w:color="auto"/>
        <w:right w:val="none" w:sz="0" w:space="0" w:color="auto"/>
      </w:divBdr>
      <w:divsChild>
        <w:div w:id="1300959723">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95101252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994574987">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972755943">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856528373">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208154129">
      <w:bodyDiv w:val="1"/>
      <w:marLeft w:val="0"/>
      <w:marRight w:val="0"/>
      <w:marTop w:val="0"/>
      <w:marBottom w:val="0"/>
      <w:divBdr>
        <w:top w:val="none" w:sz="0" w:space="0" w:color="auto"/>
        <w:left w:val="none" w:sz="0" w:space="0" w:color="auto"/>
        <w:bottom w:val="none" w:sz="0" w:space="0" w:color="auto"/>
        <w:right w:val="none" w:sz="0" w:space="0" w:color="auto"/>
      </w:divBdr>
    </w:div>
    <w:div w:id="208954552">
      <w:bodyDiv w:val="1"/>
      <w:marLeft w:val="0"/>
      <w:marRight w:val="0"/>
      <w:marTop w:val="0"/>
      <w:marBottom w:val="0"/>
      <w:divBdr>
        <w:top w:val="none" w:sz="0" w:space="0" w:color="auto"/>
        <w:left w:val="none" w:sz="0" w:space="0" w:color="auto"/>
        <w:bottom w:val="none" w:sz="0" w:space="0" w:color="auto"/>
        <w:right w:val="none" w:sz="0" w:space="0" w:color="auto"/>
      </w:divBdr>
    </w:div>
    <w:div w:id="211697227">
      <w:bodyDiv w:val="1"/>
      <w:marLeft w:val="0"/>
      <w:marRight w:val="0"/>
      <w:marTop w:val="0"/>
      <w:marBottom w:val="0"/>
      <w:divBdr>
        <w:top w:val="none" w:sz="0" w:space="0" w:color="auto"/>
        <w:left w:val="none" w:sz="0" w:space="0" w:color="auto"/>
        <w:bottom w:val="none" w:sz="0" w:space="0" w:color="auto"/>
        <w:right w:val="none" w:sz="0" w:space="0" w:color="auto"/>
      </w:divBdr>
    </w:div>
    <w:div w:id="247928945">
      <w:bodyDiv w:val="1"/>
      <w:marLeft w:val="0"/>
      <w:marRight w:val="0"/>
      <w:marTop w:val="0"/>
      <w:marBottom w:val="0"/>
      <w:divBdr>
        <w:top w:val="none" w:sz="0" w:space="0" w:color="auto"/>
        <w:left w:val="none" w:sz="0" w:space="0" w:color="auto"/>
        <w:bottom w:val="none" w:sz="0" w:space="0" w:color="auto"/>
        <w:right w:val="none" w:sz="0" w:space="0" w:color="auto"/>
      </w:divBdr>
    </w:div>
    <w:div w:id="270673953">
      <w:bodyDiv w:val="1"/>
      <w:marLeft w:val="0"/>
      <w:marRight w:val="0"/>
      <w:marTop w:val="0"/>
      <w:marBottom w:val="0"/>
      <w:divBdr>
        <w:top w:val="none" w:sz="0" w:space="0" w:color="auto"/>
        <w:left w:val="none" w:sz="0" w:space="0" w:color="auto"/>
        <w:bottom w:val="none" w:sz="0" w:space="0" w:color="auto"/>
        <w:right w:val="none" w:sz="0" w:space="0" w:color="auto"/>
      </w:divBdr>
    </w:div>
    <w:div w:id="275141071">
      <w:bodyDiv w:val="1"/>
      <w:marLeft w:val="0"/>
      <w:marRight w:val="0"/>
      <w:marTop w:val="0"/>
      <w:marBottom w:val="0"/>
      <w:divBdr>
        <w:top w:val="none" w:sz="0" w:space="0" w:color="auto"/>
        <w:left w:val="none" w:sz="0" w:space="0" w:color="auto"/>
        <w:bottom w:val="none" w:sz="0" w:space="0" w:color="auto"/>
        <w:right w:val="none" w:sz="0" w:space="0" w:color="auto"/>
      </w:divBdr>
    </w:div>
    <w:div w:id="291517953">
      <w:bodyDiv w:val="1"/>
      <w:marLeft w:val="0"/>
      <w:marRight w:val="0"/>
      <w:marTop w:val="0"/>
      <w:marBottom w:val="0"/>
      <w:divBdr>
        <w:top w:val="none" w:sz="0" w:space="0" w:color="auto"/>
        <w:left w:val="none" w:sz="0" w:space="0" w:color="auto"/>
        <w:bottom w:val="none" w:sz="0" w:space="0" w:color="auto"/>
        <w:right w:val="none" w:sz="0" w:space="0" w:color="auto"/>
      </w:divBdr>
    </w:div>
    <w:div w:id="308024268">
      <w:bodyDiv w:val="1"/>
      <w:marLeft w:val="0"/>
      <w:marRight w:val="0"/>
      <w:marTop w:val="0"/>
      <w:marBottom w:val="0"/>
      <w:divBdr>
        <w:top w:val="none" w:sz="0" w:space="0" w:color="auto"/>
        <w:left w:val="none" w:sz="0" w:space="0" w:color="auto"/>
        <w:bottom w:val="none" w:sz="0" w:space="0" w:color="auto"/>
        <w:right w:val="none" w:sz="0" w:space="0" w:color="auto"/>
      </w:divBdr>
    </w:div>
    <w:div w:id="313410876">
      <w:bodyDiv w:val="1"/>
      <w:marLeft w:val="0"/>
      <w:marRight w:val="0"/>
      <w:marTop w:val="0"/>
      <w:marBottom w:val="0"/>
      <w:divBdr>
        <w:top w:val="none" w:sz="0" w:space="0" w:color="auto"/>
        <w:left w:val="none" w:sz="0" w:space="0" w:color="auto"/>
        <w:bottom w:val="none" w:sz="0" w:space="0" w:color="auto"/>
        <w:right w:val="none" w:sz="0" w:space="0" w:color="auto"/>
      </w:divBdr>
    </w:div>
    <w:div w:id="320351249">
      <w:bodyDiv w:val="1"/>
      <w:marLeft w:val="0"/>
      <w:marRight w:val="0"/>
      <w:marTop w:val="0"/>
      <w:marBottom w:val="0"/>
      <w:divBdr>
        <w:top w:val="none" w:sz="0" w:space="0" w:color="auto"/>
        <w:left w:val="none" w:sz="0" w:space="0" w:color="auto"/>
        <w:bottom w:val="none" w:sz="0" w:space="0" w:color="auto"/>
        <w:right w:val="none" w:sz="0" w:space="0" w:color="auto"/>
      </w:divBdr>
    </w:div>
    <w:div w:id="321857250">
      <w:bodyDiv w:val="1"/>
      <w:marLeft w:val="0"/>
      <w:marRight w:val="0"/>
      <w:marTop w:val="0"/>
      <w:marBottom w:val="0"/>
      <w:divBdr>
        <w:top w:val="none" w:sz="0" w:space="0" w:color="auto"/>
        <w:left w:val="none" w:sz="0" w:space="0" w:color="auto"/>
        <w:bottom w:val="none" w:sz="0" w:space="0" w:color="auto"/>
        <w:right w:val="none" w:sz="0" w:space="0" w:color="auto"/>
      </w:divBdr>
    </w:div>
    <w:div w:id="322852620">
      <w:bodyDiv w:val="1"/>
      <w:marLeft w:val="0"/>
      <w:marRight w:val="0"/>
      <w:marTop w:val="0"/>
      <w:marBottom w:val="0"/>
      <w:divBdr>
        <w:top w:val="none" w:sz="0" w:space="0" w:color="auto"/>
        <w:left w:val="none" w:sz="0" w:space="0" w:color="auto"/>
        <w:bottom w:val="none" w:sz="0" w:space="0" w:color="auto"/>
        <w:right w:val="none" w:sz="0" w:space="0" w:color="auto"/>
      </w:divBdr>
    </w:div>
    <w:div w:id="337735336">
      <w:bodyDiv w:val="1"/>
      <w:marLeft w:val="0"/>
      <w:marRight w:val="0"/>
      <w:marTop w:val="0"/>
      <w:marBottom w:val="0"/>
      <w:divBdr>
        <w:top w:val="none" w:sz="0" w:space="0" w:color="auto"/>
        <w:left w:val="none" w:sz="0" w:space="0" w:color="auto"/>
        <w:bottom w:val="none" w:sz="0" w:space="0" w:color="auto"/>
        <w:right w:val="none" w:sz="0" w:space="0" w:color="auto"/>
      </w:divBdr>
      <w:divsChild>
        <w:div w:id="616566876">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17996651">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06105464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528953448">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563640124">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344674430">
      <w:bodyDiv w:val="1"/>
      <w:marLeft w:val="0"/>
      <w:marRight w:val="0"/>
      <w:marTop w:val="0"/>
      <w:marBottom w:val="0"/>
      <w:divBdr>
        <w:top w:val="none" w:sz="0" w:space="0" w:color="auto"/>
        <w:left w:val="none" w:sz="0" w:space="0" w:color="auto"/>
        <w:bottom w:val="none" w:sz="0" w:space="0" w:color="auto"/>
        <w:right w:val="none" w:sz="0" w:space="0" w:color="auto"/>
      </w:divBdr>
    </w:div>
    <w:div w:id="372266250">
      <w:bodyDiv w:val="1"/>
      <w:marLeft w:val="0"/>
      <w:marRight w:val="0"/>
      <w:marTop w:val="0"/>
      <w:marBottom w:val="0"/>
      <w:divBdr>
        <w:top w:val="none" w:sz="0" w:space="0" w:color="auto"/>
        <w:left w:val="none" w:sz="0" w:space="0" w:color="auto"/>
        <w:bottom w:val="none" w:sz="0" w:space="0" w:color="auto"/>
        <w:right w:val="none" w:sz="0" w:space="0" w:color="auto"/>
      </w:divBdr>
    </w:div>
    <w:div w:id="402997210">
      <w:bodyDiv w:val="1"/>
      <w:marLeft w:val="0"/>
      <w:marRight w:val="0"/>
      <w:marTop w:val="0"/>
      <w:marBottom w:val="0"/>
      <w:divBdr>
        <w:top w:val="none" w:sz="0" w:space="0" w:color="auto"/>
        <w:left w:val="none" w:sz="0" w:space="0" w:color="auto"/>
        <w:bottom w:val="none" w:sz="0" w:space="0" w:color="auto"/>
        <w:right w:val="none" w:sz="0" w:space="0" w:color="auto"/>
      </w:divBdr>
    </w:div>
    <w:div w:id="417293877">
      <w:bodyDiv w:val="1"/>
      <w:marLeft w:val="0"/>
      <w:marRight w:val="0"/>
      <w:marTop w:val="0"/>
      <w:marBottom w:val="0"/>
      <w:divBdr>
        <w:top w:val="none" w:sz="0" w:space="0" w:color="auto"/>
        <w:left w:val="none" w:sz="0" w:space="0" w:color="auto"/>
        <w:bottom w:val="none" w:sz="0" w:space="0" w:color="auto"/>
        <w:right w:val="none" w:sz="0" w:space="0" w:color="auto"/>
      </w:divBdr>
    </w:div>
    <w:div w:id="422723752">
      <w:bodyDiv w:val="1"/>
      <w:marLeft w:val="0"/>
      <w:marRight w:val="0"/>
      <w:marTop w:val="0"/>
      <w:marBottom w:val="0"/>
      <w:divBdr>
        <w:top w:val="none" w:sz="0" w:space="0" w:color="auto"/>
        <w:left w:val="none" w:sz="0" w:space="0" w:color="auto"/>
        <w:bottom w:val="none" w:sz="0" w:space="0" w:color="auto"/>
        <w:right w:val="none" w:sz="0" w:space="0" w:color="auto"/>
      </w:divBdr>
    </w:div>
    <w:div w:id="441723967">
      <w:bodyDiv w:val="1"/>
      <w:marLeft w:val="0"/>
      <w:marRight w:val="0"/>
      <w:marTop w:val="0"/>
      <w:marBottom w:val="0"/>
      <w:divBdr>
        <w:top w:val="none" w:sz="0" w:space="0" w:color="auto"/>
        <w:left w:val="none" w:sz="0" w:space="0" w:color="auto"/>
        <w:bottom w:val="none" w:sz="0" w:space="0" w:color="auto"/>
        <w:right w:val="none" w:sz="0" w:space="0" w:color="auto"/>
      </w:divBdr>
    </w:div>
    <w:div w:id="446240391">
      <w:bodyDiv w:val="1"/>
      <w:marLeft w:val="0"/>
      <w:marRight w:val="0"/>
      <w:marTop w:val="0"/>
      <w:marBottom w:val="0"/>
      <w:divBdr>
        <w:top w:val="none" w:sz="0" w:space="0" w:color="auto"/>
        <w:left w:val="none" w:sz="0" w:space="0" w:color="auto"/>
        <w:bottom w:val="none" w:sz="0" w:space="0" w:color="auto"/>
        <w:right w:val="none" w:sz="0" w:space="0" w:color="auto"/>
      </w:divBdr>
    </w:div>
    <w:div w:id="507407724">
      <w:bodyDiv w:val="1"/>
      <w:marLeft w:val="0"/>
      <w:marRight w:val="0"/>
      <w:marTop w:val="0"/>
      <w:marBottom w:val="0"/>
      <w:divBdr>
        <w:top w:val="none" w:sz="0" w:space="0" w:color="auto"/>
        <w:left w:val="none" w:sz="0" w:space="0" w:color="auto"/>
        <w:bottom w:val="none" w:sz="0" w:space="0" w:color="auto"/>
        <w:right w:val="none" w:sz="0" w:space="0" w:color="auto"/>
      </w:divBdr>
    </w:div>
    <w:div w:id="530656011">
      <w:bodyDiv w:val="1"/>
      <w:marLeft w:val="0"/>
      <w:marRight w:val="0"/>
      <w:marTop w:val="0"/>
      <w:marBottom w:val="0"/>
      <w:divBdr>
        <w:top w:val="none" w:sz="0" w:space="0" w:color="auto"/>
        <w:left w:val="none" w:sz="0" w:space="0" w:color="auto"/>
        <w:bottom w:val="none" w:sz="0" w:space="0" w:color="auto"/>
        <w:right w:val="none" w:sz="0" w:space="0" w:color="auto"/>
      </w:divBdr>
    </w:div>
    <w:div w:id="541790307">
      <w:bodyDiv w:val="1"/>
      <w:marLeft w:val="0"/>
      <w:marRight w:val="0"/>
      <w:marTop w:val="0"/>
      <w:marBottom w:val="0"/>
      <w:divBdr>
        <w:top w:val="none" w:sz="0" w:space="0" w:color="auto"/>
        <w:left w:val="none" w:sz="0" w:space="0" w:color="auto"/>
        <w:bottom w:val="none" w:sz="0" w:space="0" w:color="auto"/>
        <w:right w:val="none" w:sz="0" w:space="0" w:color="auto"/>
      </w:divBdr>
    </w:div>
    <w:div w:id="549800788">
      <w:bodyDiv w:val="1"/>
      <w:marLeft w:val="0"/>
      <w:marRight w:val="0"/>
      <w:marTop w:val="0"/>
      <w:marBottom w:val="0"/>
      <w:divBdr>
        <w:top w:val="none" w:sz="0" w:space="0" w:color="auto"/>
        <w:left w:val="none" w:sz="0" w:space="0" w:color="auto"/>
        <w:bottom w:val="none" w:sz="0" w:space="0" w:color="auto"/>
        <w:right w:val="none" w:sz="0" w:space="0" w:color="auto"/>
      </w:divBdr>
    </w:div>
    <w:div w:id="555701880">
      <w:bodyDiv w:val="1"/>
      <w:marLeft w:val="0"/>
      <w:marRight w:val="0"/>
      <w:marTop w:val="0"/>
      <w:marBottom w:val="0"/>
      <w:divBdr>
        <w:top w:val="none" w:sz="0" w:space="0" w:color="auto"/>
        <w:left w:val="none" w:sz="0" w:space="0" w:color="auto"/>
        <w:bottom w:val="none" w:sz="0" w:space="0" w:color="auto"/>
        <w:right w:val="none" w:sz="0" w:space="0" w:color="auto"/>
      </w:divBdr>
    </w:div>
    <w:div w:id="557547188">
      <w:bodyDiv w:val="1"/>
      <w:marLeft w:val="0"/>
      <w:marRight w:val="0"/>
      <w:marTop w:val="0"/>
      <w:marBottom w:val="0"/>
      <w:divBdr>
        <w:top w:val="none" w:sz="0" w:space="0" w:color="auto"/>
        <w:left w:val="none" w:sz="0" w:space="0" w:color="auto"/>
        <w:bottom w:val="none" w:sz="0" w:space="0" w:color="auto"/>
        <w:right w:val="none" w:sz="0" w:space="0" w:color="auto"/>
      </w:divBdr>
    </w:div>
    <w:div w:id="557979173">
      <w:bodyDiv w:val="1"/>
      <w:marLeft w:val="0"/>
      <w:marRight w:val="0"/>
      <w:marTop w:val="0"/>
      <w:marBottom w:val="0"/>
      <w:divBdr>
        <w:top w:val="none" w:sz="0" w:space="0" w:color="auto"/>
        <w:left w:val="none" w:sz="0" w:space="0" w:color="auto"/>
        <w:bottom w:val="none" w:sz="0" w:space="0" w:color="auto"/>
        <w:right w:val="none" w:sz="0" w:space="0" w:color="auto"/>
      </w:divBdr>
    </w:div>
    <w:div w:id="578057815">
      <w:bodyDiv w:val="1"/>
      <w:marLeft w:val="0"/>
      <w:marRight w:val="0"/>
      <w:marTop w:val="0"/>
      <w:marBottom w:val="0"/>
      <w:divBdr>
        <w:top w:val="none" w:sz="0" w:space="0" w:color="auto"/>
        <w:left w:val="none" w:sz="0" w:space="0" w:color="auto"/>
        <w:bottom w:val="none" w:sz="0" w:space="0" w:color="auto"/>
        <w:right w:val="none" w:sz="0" w:space="0" w:color="auto"/>
      </w:divBdr>
      <w:divsChild>
        <w:div w:id="590548297">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597447046">
      <w:bodyDiv w:val="1"/>
      <w:marLeft w:val="0"/>
      <w:marRight w:val="0"/>
      <w:marTop w:val="0"/>
      <w:marBottom w:val="0"/>
      <w:divBdr>
        <w:top w:val="none" w:sz="0" w:space="0" w:color="auto"/>
        <w:left w:val="none" w:sz="0" w:space="0" w:color="auto"/>
        <w:bottom w:val="none" w:sz="0" w:space="0" w:color="auto"/>
        <w:right w:val="none" w:sz="0" w:space="0" w:color="auto"/>
      </w:divBdr>
    </w:div>
    <w:div w:id="599872808">
      <w:bodyDiv w:val="1"/>
      <w:marLeft w:val="0"/>
      <w:marRight w:val="0"/>
      <w:marTop w:val="0"/>
      <w:marBottom w:val="0"/>
      <w:divBdr>
        <w:top w:val="none" w:sz="0" w:space="0" w:color="auto"/>
        <w:left w:val="none" w:sz="0" w:space="0" w:color="auto"/>
        <w:bottom w:val="none" w:sz="0" w:space="0" w:color="auto"/>
        <w:right w:val="none" w:sz="0" w:space="0" w:color="auto"/>
      </w:divBdr>
    </w:div>
    <w:div w:id="610091372">
      <w:bodyDiv w:val="1"/>
      <w:marLeft w:val="0"/>
      <w:marRight w:val="0"/>
      <w:marTop w:val="0"/>
      <w:marBottom w:val="0"/>
      <w:divBdr>
        <w:top w:val="none" w:sz="0" w:space="0" w:color="auto"/>
        <w:left w:val="none" w:sz="0" w:space="0" w:color="auto"/>
        <w:bottom w:val="none" w:sz="0" w:space="0" w:color="auto"/>
        <w:right w:val="none" w:sz="0" w:space="0" w:color="auto"/>
      </w:divBdr>
    </w:div>
    <w:div w:id="617102680">
      <w:bodyDiv w:val="1"/>
      <w:marLeft w:val="0"/>
      <w:marRight w:val="0"/>
      <w:marTop w:val="0"/>
      <w:marBottom w:val="0"/>
      <w:divBdr>
        <w:top w:val="none" w:sz="0" w:space="0" w:color="auto"/>
        <w:left w:val="none" w:sz="0" w:space="0" w:color="auto"/>
        <w:bottom w:val="none" w:sz="0" w:space="0" w:color="auto"/>
        <w:right w:val="none" w:sz="0" w:space="0" w:color="auto"/>
      </w:divBdr>
    </w:div>
    <w:div w:id="623272909">
      <w:bodyDiv w:val="1"/>
      <w:marLeft w:val="0"/>
      <w:marRight w:val="0"/>
      <w:marTop w:val="0"/>
      <w:marBottom w:val="0"/>
      <w:divBdr>
        <w:top w:val="none" w:sz="0" w:space="0" w:color="auto"/>
        <w:left w:val="none" w:sz="0" w:space="0" w:color="auto"/>
        <w:bottom w:val="none" w:sz="0" w:space="0" w:color="auto"/>
        <w:right w:val="none" w:sz="0" w:space="0" w:color="auto"/>
      </w:divBdr>
    </w:div>
    <w:div w:id="632059923">
      <w:bodyDiv w:val="1"/>
      <w:marLeft w:val="0"/>
      <w:marRight w:val="0"/>
      <w:marTop w:val="0"/>
      <w:marBottom w:val="0"/>
      <w:divBdr>
        <w:top w:val="none" w:sz="0" w:space="0" w:color="auto"/>
        <w:left w:val="none" w:sz="0" w:space="0" w:color="auto"/>
        <w:bottom w:val="none" w:sz="0" w:space="0" w:color="auto"/>
        <w:right w:val="none" w:sz="0" w:space="0" w:color="auto"/>
      </w:divBdr>
    </w:div>
    <w:div w:id="663969739">
      <w:bodyDiv w:val="1"/>
      <w:marLeft w:val="0"/>
      <w:marRight w:val="0"/>
      <w:marTop w:val="0"/>
      <w:marBottom w:val="0"/>
      <w:divBdr>
        <w:top w:val="none" w:sz="0" w:space="0" w:color="auto"/>
        <w:left w:val="none" w:sz="0" w:space="0" w:color="auto"/>
        <w:bottom w:val="none" w:sz="0" w:space="0" w:color="auto"/>
        <w:right w:val="none" w:sz="0" w:space="0" w:color="auto"/>
      </w:divBdr>
    </w:div>
    <w:div w:id="671370246">
      <w:bodyDiv w:val="1"/>
      <w:marLeft w:val="0"/>
      <w:marRight w:val="0"/>
      <w:marTop w:val="0"/>
      <w:marBottom w:val="0"/>
      <w:divBdr>
        <w:top w:val="none" w:sz="0" w:space="0" w:color="auto"/>
        <w:left w:val="none" w:sz="0" w:space="0" w:color="auto"/>
        <w:bottom w:val="none" w:sz="0" w:space="0" w:color="auto"/>
        <w:right w:val="none" w:sz="0" w:space="0" w:color="auto"/>
      </w:divBdr>
      <w:divsChild>
        <w:div w:id="126033000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892156634">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990866464">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2040814836">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58943090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671757507">
      <w:bodyDiv w:val="1"/>
      <w:marLeft w:val="0"/>
      <w:marRight w:val="0"/>
      <w:marTop w:val="0"/>
      <w:marBottom w:val="0"/>
      <w:divBdr>
        <w:top w:val="none" w:sz="0" w:space="0" w:color="auto"/>
        <w:left w:val="none" w:sz="0" w:space="0" w:color="auto"/>
        <w:bottom w:val="none" w:sz="0" w:space="0" w:color="auto"/>
        <w:right w:val="none" w:sz="0" w:space="0" w:color="auto"/>
      </w:divBdr>
    </w:div>
    <w:div w:id="676661776">
      <w:bodyDiv w:val="1"/>
      <w:marLeft w:val="0"/>
      <w:marRight w:val="0"/>
      <w:marTop w:val="0"/>
      <w:marBottom w:val="0"/>
      <w:divBdr>
        <w:top w:val="none" w:sz="0" w:space="0" w:color="auto"/>
        <w:left w:val="none" w:sz="0" w:space="0" w:color="auto"/>
        <w:bottom w:val="none" w:sz="0" w:space="0" w:color="auto"/>
        <w:right w:val="none" w:sz="0" w:space="0" w:color="auto"/>
      </w:divBdr>
    </w:div>
    <w:div w:id="689111087">
      <w:bodyDiv w:val="1"/>
      <w:marLeft w:val="0"/>
      <w:marRight w:val="0"/>
      <w:marTop w:val="0"/>
      <w:marBottom w:val="0"/>
      <w:divBdr>
        <w:top w:val="none" w:sz="0" w:space="0" w:color="auto"/>
        <w:left w:val="none" w:sz="0" w:space="0" w:color="auto"/>
        <w:bottom w:val="none" w:sz="0" w:space="0" w:color="auto"/>
        <w:right w:val="none" w:sz="0" w:space="0" w:color="auto"/>
      </w:divBdr>
    </w:div>
    <w:div w:id="689332662">
      <w:bodyDiv w:val="1"/>
      <w:marLeft w:val="0"/>
      <w:marRight w:val="0"/>
      <w:marTop w:val="0"/>
      <w:marBottom w:val="0"/>
      <w:divBdr>
        <w:top w:val="none" w:sz="0" w:space="0" w:color="auto"/>
        <w:left w:val="none" w:sz="0" w:space="0" w:color="auto"/>
        <w:bottom w:val="none" w:sz="0" w:space="0" w:color="auto"/>
        <w:right w:val="none" w:sz="0" w:space="0" w:color="auto"/>
      </w:divBdr>
    </w:div>
    <w:div w:id="691152690">
      <w:bodyDiv w:val="1"/>
      <w:marLeft w:val="0"/>
      <w:marRight w:val="0"/>
      <w:marTop w:val="0"/>
      <w:marBottom w:val="0"/>
      <w:divBdr>
        <w:top w:val="none" w:sz="0" w:space="0" w:color="auto"/>
        <w:left w:val="none" w:sz="0" w:space="0" w:color="auto"/>
        <w:bottom w:val="none" w:sz="0" w:space="0" w:color="auto"/>
        <w:right w:val="none" w:sz="0" w:space="0" w:color="auto"/>
      </w:divBdr>
    </w:div>
    <w:div w:id="691691779">
      <w:bodyDiv w:val="1"/>
      <w:marLeft w:val="0"/>
      <w:marRight w:val="0"/>
      <w:marTop w:val="0"/>
      <w:marBottom w:val="0"/>
      <w:divBdr>
        <w:top w:val="none" w:sz="0" w:space="0" w:color="auto"/>
        <w:left w:val="none" w:sz="0" w:space="0" w:color="auto"/>
        <w:bottom w:val="none" w:sz="0" w:space="0" w:color="auto"/>
        <w:right w:val="none" w:sz="0" w:space="0" w:color="auto"/>
      </w:divBdr>
    </w:div>
    <w:div w:id="693112880">
      <w:bodyDiv w:val="1"/>
      <w:marLeft w:val="0"/>
      <w:marRight w:val="0"/>
      <w:marTop w:val="0"/>
      <w:marBottom w:val="0"/>
      <w:divBdr>
        <w:top w:val="none" w:sz="0" w:space="0" w:color="auto"/>
        <w:left w:val="none" w:sz="0" w:space="0" w:color="auto"/>
        <w:bottom w:val="none" w:sz="0" w:space="0" w:color="auto"/>
        <w:right w:val="none" w:sz="0" w:space="0" w:color="auto"/>
      </w:divBdr>
    </w:div>
    <w:div w:id="707493371">
      <w:bodyDiv w:val="1"/>
      <w:marLeft w:val="0"/>
      <w:marRight w:val="0"/>
      <w:marTop w:val="0"/>
      <w:marBottom w:val="0"/>
      <w:divBdr>
        <w:top w:val="none" w:sz="0" w:space="0" w:color="auto"/>
        <w:left w:val="none" w:sz="0" w:space="0" w:color="auto"/>
        <w:bottom w:val="none" w:sz="0" w:space="0" w:color="auto"/>
        <w:right w:val="none" w:sz="0" w:space="0" w:color="auto"/>
      </w:divBdr>
    </w:div>
    <w:div w:id="719748926">
      <w:bodyDiv w:val="1"/>
      <w:marLeft w:val="0"/>
      <w:marRight w:val="0"/>
      <w:marTop w:val="0"/>
      <w:marBottom w:val="0"/>
      <w:divBdr>
        <w:top w:val="none" w:sz="0" w:space="0" w:color="auto"/>
        <w:left w:val="none" w:sz="0" w:space="0" w:color="auto"/>
        <w:bottom w:val="none" w:sz="0" w:space="0" w:color="auto"/>
        <w:right w:val="none" w:sz="0" w:space="0" w:color="auto"/>
      </w:divBdr>
      <w:divsChild>
        <w:div w:id="109628756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282541094">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350767512">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42746281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4672810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722096996">
      <w:bodyDiv w:val="1"/>
      <w:marLeft w:val="0"/>
      <w:marRight w:val="0"/>
      <w:marTop w:val="0"/>
      <w:marBottom w:val="0"/>
      <w:divBdr>
        <w:top w:val="none" w:sz="0" w:space="0" w:color="auto"/>
        <w:left w:val="none" w:sz="0" w:space="0" w:color="auto"/>
        <w:bottom w:val="none" w:sz="0" w:space="0" w:color="auto"/>
        <w:right w:val="none" w:sz="0" w:space="0" w:color="auto"/>
      </w:divBdr>
    </w:div>
    <w:div w:id="742869702">
      <w:bodyDiv w:val="1"/>
      <w:marLeft w:val="0"/>
      <w:marRight w:val="0"/>
      <w:marTop w:val="0"/>
      <w:marBottom w:val="0"/>
      <w:divBdr>
        <w:top w:val="none" w:sz="0" w:space="0" w:color="auto"/>
        <w:left w:val="none" w:sz="0" w:space="0" w:color="auto"/>
        <w:bottom w:val="none" w:sz="0" w:space="0" w:color="auto"/>
        <w:right w:val="none" w:sz="0" w:space="0" w:color="auto"/>
      </w:divBdr>
    </w:div>
    <w:div w:id="754783032">
      <w:bodyDiv w:val="1"/>
      <w:marLeft w:val="0"/>
      <w:marRight w:val="0"/>
      <w:marTop w:val="0"/>
      <w:marBottom w:val="0"/>
      <w:divBdr>
        <w:top w:val="none" w:sz="0" w:space="0" w:color="auto"/>
        <w:left w:val="none" w:sz="0" w:space="0" w:color="auto"/>
        <w:bottom w:val="none" w:sz="0" w:space="0" w:color="auto"/>
        <w:right w:val="none" w:sz="0" w:space="0" w:color="auto"/>
      </w:divBdr>
      <w:divsChild>
        <w:div w:id="2053841741">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700275337">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800805385">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755248098">
      <w:bodyDiv w:val="1"/>
      <w:marLeft w:val="0"/>
      <w:marRight w:val="0"/>
      <w:marTop w:val="0"/>
      <w:marBottom w:val="0"/>
      <w:divBdr>
        <w:top w:val="none" w:sz="0" w:space="0" w:color="auto"/>
        <w:left w:val="none" w:sz="0" w:space="0" w:color="auto"/>
        <w:bottom w:val="none" w:sz="0" w:space="0" w:color="auto"/>
        <w:right w:val="none" w:sz="0" w:space="0" w:color="auto"/>
      </w:divBdr>
    </w:div>
    <w:div w:id="782462556">
      <w:bodyDiv w:val="1"/>
      <w:marLeft w:val="0"/>
      <w:marRight w:val="0"/>
      <w:marTop w:val="0"/>
      <w:marBottom w:val="0"/>
      <w:divBdr>
        <w:top w:val="none" w:sz="0" w:space="0" w:color="auto"/>
        <w:left w:val="none" w:sz="0" w:space="0" w:color="auto"/>
        <w:bottom w:val="none" w:sz="0" w:space="0" w:color="auto"/>
        <w:right w:val="none" w:sz="0" w:space="0" w:color="auto"/>
      </w:divBdr>
    </w:div>
    <w:div w:id="842427342">
      <w:bodyDiv w:val="1"/>
      <w:marLeft w:val="0"/>
      <w:marRight w:val="0"/>
      <w:marTop w:val="0"/>
      <w:marBottom w:val="0"/>
      <w:divBdr>
        <w:top w:val="none" w:sz="0" w:space="0" w:color="auto"/>
        <w:left w:val="none" w:sz="0" w:space="0" w:color="auto"/>
        <w:bottom w:val="none" w:sz="0" w:space="0" w:color="auto"/>
        <w:right w:val="none" w:sz="0" w:space="0" w:color="auto"/>
      </w:divBdr>
    </w:div>
    <w:div w:id="844397224">
      <w:bodyDiv w:val="1"/>
      <w:marLeft w:val="0"/>
      <w:marRight w:val="0"/>
      <w:marTop w:val="0"/>
      <w:marBottom w:val="0"/>
      <w:divBdr>
        <w:top w:val="none" w:sz="0" w:space="0" w:color="auto"/>
        <w:left w:val="none" w:sz="0" w:space="0" w:color="auto"/>
        <w:bottom w:val="none" w:sz="0" w:space="0" w:color="auto"/>
        <w:right w:val="none" w:sz="0" w:space="0" w:color="auto"/>
      </w:divBdr>
    </w:div>
    <w:div w:id="860432081">
      <w:bodyDiv w:val="1"/>
      <w:marLeft w:val="0"/>
      <w:marRight w:val="0"/>
      <w:marTop w:val="0"/>
      <w:marBottom w:val="0"/>
      <w:divBdr>
        <w:top w:val="none" w:sz="0" w:space="0" w:color="auto"/>
        <w:left w:val="none" w:sz="0" w:space="0" w:color="auto"/>
        <w:bottom w:val="none" w:sz="0" w:space="0" w:color="auto"/>
        <w:right w:val="none" w:sz="0" w:space="0" w:color="auto"/>
      </w:divBdr>
    </w:div>
    <w:div w:id="861670713">
      <w:bodyDiv w:val="1"/>
      <w:marLeft w:val="0"/>
      <w:marRight w:val="0"/>
      <w:marTop w:val="0"/>
      <w:marBottom w:val="0"/>
      <w:divBdr>
        <w:top w:val="none" w:sz="0" w:space="0" w:color="auto"/>
        <w:left w:val="none" w:sz="0" w:space="0" w:color="auto"/>
        <w:bottom w:val="none" w:sz="0" w:space="0" w:color="auto"/>
        <w:right w:val="none" w:sz="0" w:space="0" w:color="auto"/>
      </w:divBdr>
    </w:div>
    <w:div w:id="876816460">
      <w:bodyDiv w:val="1"/>
      <w:marLeft w:val="0"/>
      <w:marRight w:val="0"/>
      <w:marTop w:val="0"/>
      <w:marBottom w:val="0"/>
      <w:divBdr>
        <w:top w:val="none" w:sz="0" w:space="0" w:color="auto"/>
        <w:left w:val="none" w:sz="0" w:space="0" w:color="auto"/>
        <w:bottom w:val="none" w:sz="0" w:space="0" w:color="auto"/>
        <w:right w:val="none" w:sz="0" w:space="0" w:color="auto"/>
      </w:divBdr>
      <w:divsChild>
        <w:div w:id="2137526892">
          <w:marLeft w:val="0"/>
          <w:marRight w:val="0"/>
          <w:marTop w:val="0"/>
          <w:marBottom w:val="0"/>
          <w:divBdr>
            <w:top w:val="none" w:sz="0" w:space="0" w:color="auto"/>
            <w:left w:val="none" w:sz="0" w:space="0" w:color="auto"/>
            <w:bottom w:val="none" w:sz="0" w:space="0" w:color="auto"/>
            <w:right w:val="none" w:sz="0" w:space="0" w:color="auto"/>
          </w:divBdr>
          <w:divsChild>
            <w:div w:id="1295210843">
              <w:marLeft w:val="0"/>
              <w:marRight w:val="0"/>
              <w:marTop w:val="120"/>
              <w:marBottom w:val="0"/>
              <w:divBdr>
                <w:top w:val="none" w:sz="0" w:space="0" w:color="auto"/>
                <w:left w:val="none" w:sz="0" w:space="0" w:color="auto"/>
                <w:bottom w:val="none" w:sz="0" w:space="0" w:color="auto"/>
                <w:right w:val="none" w:sz="0" w:space="0" w:color="auto"/>
              </w:divBdr>
            </w:div>
            <w:div w:id="3775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6959">
      <w:bodyDiv w:val="1"/>
      <w:marLeft w:val="0"/>
      <w:marRight w:val="0"/>
      <w:marTop w:val="0"/>
      <w:marBottom w:val="0"/>
      <w:divBdr>
        <w:top w:val="none" w:sz="0" w:space="0" w:color="auto"/>
        <w:left w:val="none" w:sz="0" w:space="0" w:color="auto"/>
        <w:bottom w:val="none" w:sz="0" w:space="0" w:color="auto"/>
        <w:right w:val="none" w:sz="0" w:space="0" w:color="auto"/>
      </w:divBdr>
    </w:div>
    <w:div w:id="935359832">
      <w:bodyDiv w:val="1"/>
      <w:marLeft w:val="0"/>
      <w:marRight w:val="0"/>
      <w:marTop w:val="0"/>
      <w:marBottom w:val="0"/>
      <w:divBdr>
        <w:top w:val="none" w:sz="0" w:space="0" w:color="auto"/>
        <w:left w:val="none" w:sz="0" w:space="0" w:color="auto"/>
        <w:bottom w:val="none" w:sz="0" w:space="0" w:color="auto"/>
        <w:right w:val="none" w:sz="0" w:space="0" w:color="auto"/>
      </w:divBdr>
      <w:divsChild>
        <w:div w:id="1264612035">
          <w:marLeft w:val="0"/>
          <w:marRight w:val="0"/>
          <w:marTop w:val="0"/>
          <w:marBottom w:val="0"/>
          <w:divBdr>
            <w:top w:val="none" w:sz="0" w:space="0" w:color="auto"/>
            <w:left w:val="none" w:sz="0" w:space="0" w:color="auto"/>
            <w:bottom w:val="none" w:sz="0" w:space="0" w:color="auto"/>
            <w:right w:val="none" w:sz="0" w:space="0" w:color="auto"/>
          </w:divBdr>
        </w:div>
        <w:div w:id="1040320576">
          <w:marLeft w:val="0"/>
          <w:marRight w:val="0"/>
          <w:marTop w:val="0"/>
          <w:marBottom w:val="0"/>
          <w:divBdr>
            <w:top w:val="none" w:sz="0" w:space="0" w:color="auto"/>
            <w:left w:val="none" w:sz="0" w:space="0" w:color="auto"/>
            <w:bottom w:val="none" w:sz="0" w:space="0" w:color="auto"/>
            <w:right w:val="none" w:sz="0" w:space="0" w:color="auto"/>
          </w:divBdr>
        </w:div>
        <w:div w:id="452140596">
          <w:marLeft w:val="0"/>
          <w:marRight w:val="0"/>
          <w:marTop w:val="0"/>
          <w:marBottom w:val="0"/>
          <w:divBdr>
            <w:top w:val="none" w:sz="0" w:space="0" w:color="auto"/>
            <w:left w:val="none" w:sz="0" w:space="0" w:color="auto"/>
            <w:bottom w:val="none" w:sz="0" w:space="0" w:color="auto"/>
            <w:right w:val="none" w:sz="0" w:space="0" w:color="auto"/>
          </w:divBdr>
        </w:div>
      </w:divsChild>
    </w:div>
    <w:div w:id="962617015">
      <w:bodyDiv w:val="1"/>
      <w:marLeft w:val="0"/>
      <w:marRight w:val="0"/>
      <w:marTop w:val="0"/>
      <w:marBottom w:val="0"/>
      <w:divBdr>
        <w:top w:val="none" w:sz="0" w:space="0" w:color="auto"/>
        <w:left w:val="none" w:sz="0" w:space="0" w:color="auto"/>
        <w:bottom w:val="none" w:sz="0" w:space="0" w:color="auto"/>
        <w:right w:val="none" w:sz="0" w:space="0" w:color="auto"/>
      </w:divBdr>
    </w:div>
    <w:div w:id="971399384">
      <w:bodyDiv w:val="1"/>
      <w:marLeft w:val="0"/>
      <w:marRight w:val="0"/>
      <w:marTop w:val="0"/>
      <w:marBottom w:val="0"/>
      <w:divBdr>
        <w:top w:val="none" w:sz="0" w:space="0" w:color="auto"/>
        <w:left w:val="none" w:sz="0" w:space="0" w:color="auto"/>
        <w:bottom w:val="none" w:sz="0" w:space="0" w:color="auto"/>
        <w:right w:val="none" w:sz="0" w:space="0" w:color="auto"/>
      </w:divBdr>
    </w:div>
    <w:div w:id="1007709081">
      <w:bodyDiv w:val="1"/>
      <w:marLeft w:val="0"/>
      <w:marRight w:val="0"/>
      <w:marTop w:val="0"/>
      <w:marBottom w:val="0"/>
      <w:divBdr>
        <w:top w:val="none" w:sz="0" w:space="0" w:color="auto"/>
        <w:left w:val="none" w:sz="0" w:space="0" w:color="auto"/>
        <w:bottom w:val="none" w:sz="0" w:space="0" w:color="auto"/>
        <w:right w:val="none" w:sz="0" w:space="0" w:color="auto"/>
      </w:divBdr>
    </w:div>
    <w:div w:id="1015616463">
      <w:bodyDiv w:val="1"/>
      <w:marLeft w:val="0"/>
      <w:marRight w:val="0"/>
      <w:marTop w:val="0"/>
      <w:marBottom w:val="0"/>
      <w:divBdr>
        <w:top w:val="none" w:sz="0" w:space="0" w:color="auto"/>
        <w:left w:val="none" w:sz="0" w:space="0" w:color="auto"/>
        <w:bottom w:val="none" w:sz="0" w:space="0" w:color="auto"/>
        <w:right w:val="none" w:sz="0" w:space="0" w:color="auto"/>
      </w:divBdr>
    </w:div>
    <w:div w:id="1056857698">
      <w:bodyDiv w:val="1"/>
      <w:marLeft w:val="0"/>
      <w:marRight w:val="0"/>
      <w:marTop w:val="0"/>
      <w:marBottom w:val="0"/>
      <w:divBdr>
        <w:top w:val="none" w:sz="0" w:space="0" w:color="auto"/>
        <w:left w:val="none" w:sz="0" w:space="0" w:color="auto"/>
        <w:bottom w:val="none" w:sz="0" w:space="0" w:color="auto"/>
        <w:right w:val="none" w:sz="0" w:space="0" w:color="auto"/>
      </w:divBdr>
    </w:div>
    <w:div w:id="1060791483">
      <w:bodyDiv w:val="1"/>
      <w:marLeft w:val="0"/>
      <w:marRight w:val="0"/>
      <w:marTop w:val="0"/>
      <w:marBottom w:val="0"/>
      <w:divBdr>
        <w:top w:val="none" w:sz="0" w:space="0" w:color="auto"/>
        <w:left w:val="none" w:sz="0" w:space="0" w:color="auto"/>
        <w:bottom w:val="none" w:sz="0" w:space="0" w:color="auto"/>
        <w:right w:val="none" w:sz="0" w:space="0" w:color="auto"/>
      </w:divBdr>
    </w:div>
    <w:div w:id="1101800293">
      <w:bodyDiv w:val="1"/>
      <w:marLeft w:val="0"/>
      <w:marRight w:val="0"/>
      <w:marTop w:val="0"/>
      <w:marBottom w:val="0"/>
      <w:divBdr>
        <w:top w:val="none" w:sz="0" w:space="0" w:color="auto"/>
        <w:left w:val="none" w:sz="0" w:space="0" w:color="auto"/>
        <w:bottom w:val="none" w:sz="0" w:space="0" w:color="auto"/>
        <w:right w:val="none" w:sz="0" w:space="0" w:color="auto"/>
      </w:divBdr>
    </w:div>
    <w:div w:id="1123352923">
      <w:bodyDiv w:val="1"/>
      <w:marLeft w:val="0"/>
      <w:marRight w:val="0"/>
      <w:marTop w:val="0"/>
      <w:marBottom w:val="0"/>
      <w:divBdr>
        <w:top w:val="none" w:sz="0" w:space="0" w:color="auto"/>
        <w:left w:val="none" w:sz="0" w:space="0" w:color="auto"/>
        <w:bottom w:val="none" w:sz="0" w:space="0" w:color="auto"/>
        <w:right w:val="none" w:sz="0" w:space="0" w:color="auto"/>
      </w:divBdr>
    </w:div>
    <w:div w:id="1131097548">
      <w:bodyDiv w:val="1"/>
      <w:marLeft w:val="0"/>
      <w:marRight w:val="0"/>
      <w:marTop w:val="0"/>
      <w:marBottom w:val="0"/>
      <w:divBdr>
        <w:top w:val="none" w:sz="0" w:space="0" w:color="auto"/>
        <w:left w:val="none" w:sz="0" w:space="0" w:color="auto"/>
        <w:bottom w:val="none" w:sz="0" w:space="0" w:color="auto"/>
        <w:right w:val="none" w:sz="0" w:space="0" w:color="auto"/>
      </w:divBdr>
    </w:div>
    <w:div w:id="1152214447">
      <w:bodyDiv w:val="1"/>
      <w:marLeft w:val="0"/>
      <w:marRight w:val="0"/>
      <w:marTop w:val="0"/>
      <w:marBottom w:val="0"/>
      <w:divBdr>
        <w:top w:val="none" w:sz="0" w:space="0" w:color="auto"/>
        <w:left w:val="none" w:sz="0" w:space="0" w:color="auto"/>
        <w:bottom w:val="none" w:sz="0" w:space="0" w:color="auto"/>
        <w:right w:val="none" w:sz="0" w:space="0" w:color="auto"/>
      </w:divBdr>
    </w:div>
    <w:div w:id="1157114328">
      <w:bodyDiv w:val="1"/>
      <w:marLeft w:val="0"/>
      <w:marRight w:val="0"/>
      <w:marTop w:val="0"/>
      <w:marBottom w:val="0"/>
      <w:divBdr>
        <w:top w:val="none" w:sz="0" w:space="0" w:color="auto"/>
        <w:left w:val="none" w:sz="0" w:space="0" w:color="auto"/>
        <w:bottom w:val="none" w:sz="0" w:space="0" w:color="auto"/>
        <w:right w:val="none" w:sz="0" w:space="0" w:color="auto"/>
      </w:divBdr>
    </w:div>
    <w:div w:id="1158691127">
      <w:bodyDiv w:val="1"/>
      <w:marLeft w:val="0"/>
      <w:marRight w:val="0"/>
      <w:marTop w:val="0"/>
      <w:marBottom w:val="0"/>
      <w:divBdr>
        <w:top w:val="none" w:sz="0" w:space="0" w:color="auto"/>
        <w:left w:val="none" w:sz="0" w:space="0" w:color="auto"/>
        <w:bottom w:val="none" w:sz="0" w:space="0" w:color="auto"/>
        <w:right w:val="none" w:sz="0" w:space="0" w:color="auto"/>
      </w:divBdr>
    </w:div>
    <w:div w:id="1215435307">
      <w:bodyDiv w:val="1"/>
      <w:marLeft w:val="0"/>
      <w:marRight w:val="0"/>
      <w:marTop w:val="0"/>
      <w:marBottom w:val="0"/>
      <w:divBdr>
        <w:top w:val="none" w:sz="0" w:space="0" w:color="auto"/>
        <w:left w:val="none" w:sz="0" w:space="0" w:color="auto"/>
        <w:bottom w:val="none" w:sz="0" w:space="0" w:color="auto"/>
        <w:right w:val="none" w:sz="0" w:space="0" w:color="auto"/>
      </w:divBdr>
    </w:div>
    <w:div w:id="1252163188">
      <w:bodyDiv w:val="1"/>
      <w:marLeft w:val="0"/>
      <w:marRight w:val="0"/>
      <w:marTop w:val="0"/>
      <w:marBottom w:val="0"/>
      <w:divBdr>
        <w:top w:val="none" w:sz="0" w:space="0" w:color="auto"/>
        <w:left w:val="none" w:sz="0" w:space="0" w:color="auto"/>
        <w:bottom w:val="none" w:sz="0" w:space="0" w:color="auto"/>
        <w:right w:val="none" w:sz="0" w:space="0" w:color="auto"/>
      </w:divBdr>
      <w:divsChild>
        <w:div w:id="565995503">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905331384">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748839116">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257664947">
      <w:bodyDiv w:val="1"/>
      <w:marLeft w:val="0"/>
      <w:marRight w:val="0"/>
      <w:marTop w:val="0"/>
      <w:marBottom w:val="0"/>
      <w:divBdr>
        <w:top w:val="none" w:sz="0" w:space="0" w:color="auto"/>
        <w:left w:val="none" w:sz="0" w:space="0" w:color="auto"/>
        <w:bottom w:val="none" w:sz="0" w:space="0" w:color="auto"/>
        <w:right w:val="none" w:sz="0" w:space="0" w:color="auto"/>
      </w:divBdr>
    </w:div>
    <w:div w:id="1268612414">
      <w:bodyDiv w:val="1"/>
      <w:marLeft w:val="0"/>
      <w:marRight w:val="0"/>
      <w:marTop w:val="0"/>
      <w:marBottom w:val="0"/>
      <w:divBdr>
        <w:top w:val="none" w:sz="0" w:space="0" w:color="auto"/>
        <w:left w:val="none" w:sz="0" w:space="0" w:color="auto"/>
        <w:bottom w:val="none" w:sz="0" w:space="0" w:color="auto"/>
        <w:right w:val="none" w:sz="0" w:space="0" w:color="auto"/>
      </w:divBdr>
    </w:div>
    <w:div w:id="1275789347">
      <w:bodyDiv w:val="1"/>
      <w:marLeft w:val="0"/>
      <w:marRight w:val="0"/>
      <w:marTop w:val="0"/>
      <w:marBottom w:val="0"/>
      <w:divBdr>
        <w:top w:val="none" w:sz="0" w:space="0" w:color="auto"/>
        <w:left w:val="none" w:sz="0" w:space="0" w:color="auto"/>
        <w:bottom w:val="none" w:sz="0" w:space="0" w:color="auto"/>
        <w:right w:val="none" w:sz="0" w:space="0" w:color="auto"/>
      </w:divBdr>
    </w:div>
    <w:div w:id="1294674565">
      <w:bodyDiv w:val="1"/>
      <w:marLeft w:val="0"/>
      <w:marRight w:val="0"/>
      <w:marTop w:val="0"/>
      <w:marBottom w:val="0"/>
      <w:divBdr>
        <w:top w:val="none" w:sz="0" w:space="0" w:color="auto"/>
        <w:left w:val="none" w:sz="0" w:space="0" w:color="auto"/>
        <w:bottom w:val="none" w:sz="0" w:space="0" w:color="auto"/>
        <w:right w:val="none" w:sz="0" w:space="0" w:color="auto"/>
      </w:divBdr>
    </w:div>
    <w:div w:id="1297099568">
      <w:bodyDiv w:val="1"/>
      <w:marLeft w:val="0"/>
      <w:marRight w:val="0"/>
      <w:marTop w:val="0"/>
      <w:marBottom w:val="0"/>
      <w:divBdr>
        <w:top w:val="none" w:sz="0" w:space="0" w:color="auto"/>
        <w:left w:val="none" w:sz="0" w:space="0" w:color="auto"/>
        <w:bottom w:val="none" w:sz="0" w:space="0" w:color="auto"/>
        <w:right w:val="none" w:sz="0" w:space="0" w:color="auto"/>
      </w:divBdr>
    </w:div>
    <w:div w:id="1318798461">
      <w:bodyDiv w:val="1"/>
      <w:marLeft w:val="0"/>
      <w:marRight w:val="0"/>
      <w:marTop w:val="0"/>
      <w:marBottom w:val="0"/>
      <w:divBdr>
        <w:top w:val="none" w:sz="0" w:space="0" w:color="auto"/>
        <w:left w:val="none" w:sz="0" w:space="0" w:color="auto"/>
        <w:bottom w:val="none" w:sz="0" w:space="0" w:color="auto"/>
        <w:right w:val="none" w:sz="0" w:space="0" w:color="auto"/>
      </w:divBdr>
    </w:div>
    <w:div w:id="1325817731">
      <w:bodyDiv w:val="1"/>
      <w:marLeft w:val="0"/>
      <w:marRight w:val="0"/>
      <w:marTop w:val="0"/>
      <w:marBottom w:val="0"/>
      <w:divBdr>
        <w:top w:val="none" w:sz="0" w:space="0" w:color="auto"/>
        <w:left w:val="none" w:sz="0" w:space="0" w:color="auto"/>
        <w:bottom w:val="none" w:sz="0" w:space="0" w:color="auto"/>
        <w:right w:val="none" w:sz="0" w:space="0" w:color="auto"/>
      </w:divBdr>
    </w:div>
    <w:div w:id="1344630405">
      <w:bodyDiv w:val="1"/>
      <w:marLeft w:val="0"/>
      <w:marRight w:val="0"/>
      <w:marTop w:val="0"/>
      <w:marBottom w:val="0"/>
      <w:divBdr>
        <w:top w:val="none" w:sz="0" w:space="0" w:color="auto"/>
        <w:left w:val="none" w:sz="0" w:space="0" w:color="auto"/>
        <w:bottom w:val="none" w:sz="0" w:space="0" w:color="auto"/>
        <w:right w:val="none" w:sz="0" w:space="0" w:color="auto"/>
      </w:divBdr>
    </w:div>
    <w:div w:id="1363897640">
      <w:bodyDiv w:val="1"/>
      <w:marLeft w:val="0"/>
      <w:marRight w:val="0"/>
      <w:marTop w:val="0"/>
      <w:marBottom w:val="0"/>
      <w:divBdr>
        <w:top w:val="none" w:sz="0" w:space="0" w:color="auto"/>
        <w:left w:val="none" w:sz="0" w:space="0" w:color="auto"/>
        <w:bottom w:val="none" w:sz="0" w:space="0" w:color="auto"/>
        <w:right w:val="none" w:sz="0" w:space="0" w:color="auto"/>
      </w:divBdr>
    </w:div>
    <w:div w:id="1368214239">
      <w:bodyDiv w:val="1"/>
      <w:marLeft w:val="0"/>
      <w:marRight w:val="0"/>
      <w:marTop w:val="0"/>
      <w:marBottom w:val="0"/>
      <w:divBdr>
        <w:top w:val="none" w:sz="0" w:space="0" w:color="auto"/>
        <w:left w:val="none" w:sz="0" w:space="0" w:color="auto"/>
        <w:bottom w:val="none" w:sz="0" w:space="0" w:color="auto"/>
        <w:right w:val="none" w:sz="0" w:space="0" w:color="auto"/>
      </w:divBdr>
      <w:divsChild>
        <w:div w:id="1966157255">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50898207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97098755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77165715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227111806">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369178921">
      <w:bodyDiv w:val="1"/>
      <w:marLeft w:val="0"/>
      <w:marRight w:val="0"/>
      <w:marTop w:val="0"/>
      <w:marBottom w:val="0"/>
      <w:divBdr>
        <w:top w:val="none" w:sz="0" w:space="0" w:color="auto"/>
        <w:left w:val="none" w:sz="0" w:space="0" w:color="auto"/>
        <w:bottom w:val="none" w:sz="0" w:space="0" w:color="auto"/>
        <w:right w:val="none" w:sz="0" w:space="0" w:color="auto"/>
      </w:divBdr>
    </w:div>
    <w:div w:id="1382169543">
      <w:bodyDiv w:val="1"/>
      <w:marLeft w:val="0"/>
      <w:marRight w:val="0"/>
      <w:marTop w:val="0"/>
      <w:marBottom w:val="0"/>
      <w:divBdr>
        <w:top w:val="none" w:sz="0" w:space="0" w:color="auto"/>
        <w:left w:val="none" w:sz="0" w:space="0" w:color="auto"/>
        <w:bottom w:val="none" w:sz="0" w:space="0" w:color="auto"/>
        <w:right w:val="none" w:sz="0" w:space="0" w:color="auto"/>
      </w:divBdr>
    </w:div>
    <w:div w:id="1409764246">
      <w:bodyDiv w:val="1"/>
      <w:marLeft w:val="0"/>
      <w:marRight w:val="0"/>
      <w:marTop w:val="0"/>
      <w:marBottom w:val="0"/>
      <w:divBdr>
        <w:top w:val="none" w:sz="0" w:space="0" w:color="auto"/>
        <w:left w:val="none" w:sz="0" w:space="0" w:color="auto"/>
        <w:bottom w:val="none" w:sz="0" w:space="0" w:color="auto"/>
        <w:right w:val="none" w:sz="0" w:space="0" w:color="auto"/>
      </w:divBdr>
    </w:div>
    <w:div w:id="1418213959">
      <w:bodyDiv w:val="1"/>
      <w:marLeft w:val="0"/>
      <w:marRight w:val="0"/>
      <w:marTop w:val="0"/>
      <w:marBottom w:val="0"/>
      <w:divBdr>
        <w:top w:val="none" w:sz="0" w:space="0" w:color="auto"/>
        <w:left w:val="none" w:sz="0" w:space="0" w:color="auto"/>
        <w:bottom w:val="none" w:sz="0" w:space="0" w:color="auto"/>
        <w:right w:val="none" w:sz="0" w:space="0" w:color="auto"/>
      </w:divBdr>
    </w:div>
    <w:div w:id="1422333802">
      <w:bodyDiv w:val="1"/>
      <w:marLeft w:val="0"/>
      <w:marRight w:val="0"/>
      <w:marTop w:val="0"/>
      <w:marBottom w:val="0"/>
      <w:divBdr>
        <w:top w:val="none" w:sz="0" w:space="0" w:color="auto"/>
        <w:left w:val="none" w:sz="0" w:space="0" w:color="auto"/>
        <w:bottom w:val="none" w:sz="0" w:space="0" w:color="auto"/>
        <w:right w:val="none" w:sz="0" w:space="0" w:color="auto"/>
      </w:divBdr>
    </w:div>
    <w:div w:id="1450080776">
      <w:bodyDiv w:val="1"/>
      <w:marLeft w:val="0"/>
      <w:marRight w:val="0"/>
      <w:marTop w:val="0"/>
      <w:marBottom w:val="0"/>
      <w:divBdr>
        <w:top w:val="none" w:sz="0" w:space="0" w:color="auto"/>
        <w:left w:val="none" w:sz="0" w:space="0" w:color="auto"/>
        <w:bottom w:val="none" w:sz="0" w:space="0" w:color="auto"/>
        <w:right w:val="none" w:sz="0" w:space="0" w:color="auto"/>
      </w:divBdr>
    </w:div>
    <w:div w:id="1465929516">
      <w:bodyDiv w:val="1"/>
      <w:marLeft w:val="0"/>
      <w:marRight w:val="0"/>
      <w:marTop w:val="0"/>
      <w:marBottom w:val="0"/>
      <w:divBdr>
        <w:top w:val="none" w:sz="0" w:space="0" w:color="auto"/>
        <w:left w:val="none" w:sz="0" w:space="0" w:color="auto"/>
        <w:bottom w:val="none" w:sz="0" w:space="0" w:color="auto"/>
        <w:right w:val="none" w:sz="0" w:space="0" w:color="auto"/>
      </w:divBdr>
    </w:div>
    <w:div w:id="1469664831">
      <w:bodyDiv w:val="1"/>
      <w:marLeft w:val="0"/>
      <w:marRight w:val="0"/>
      <w:marTop w:val="0"/>
      <w:marBottom w:val="0"/>
      <w:divBdr>
        <w:top w:val="none" w:sz="0" w:space="0" w:color="auto"/>
        <w:left w:val="none" w:sz="0" w:space="0" w:color="auto"/>
        <w:bottom w:val="none" w:sz="0" w:space="0" w:color="auto"/>
        <w:right w:val="none" w:sz="0" w:space="0" w:color="auto"/>
      </w:divBdr>
    </w:div>
    <w:div w:id="1472482764">
      <w:bodyDiv w:val="1"/>
      <w:marLeft w:val="0"/>
      <w:marRight w:val="0"/>
      <w:marTop w:val="0"/>
      <w:marBottom w:val="0"/>
      <w:divBdr>
        <w:top w:val="none" w:sz="0" w:space="0" w:color="auto"/>
        <w:left w:val="none" w:sz="0" w:space="0" w:color="auto"/>
        <w:bottom w:val="none" w:sz="0" w:space="0" w:color="auto"/>
        <w:right w:val="none" w:sz="0" w:space="0" w:color="auto"/>
      </w:divBdr>
    </w:div>
    <w:div w:id="1485124318">
      <w:bodyDiv w:val="1"/>
      <w:marLeft w:val="0"/>
      <w:marRight w:val="0"/>
      <w:marTop w:val="0"/>
      <w:marBottom w:val="0"/>
      <w:divBdr>
        <w:top w:val="none" w:sz="0" w:space="0" w:color="auto"/>
        <w:left w:val="none" w:sz="0" w:space="0" w:color="auto"/>
        <w:bottom w:val="none" w:sz="0" w:space="0" w:color="auto"/>
        <w:right w:val="none" w:sz="0" w:space="0" w:color="auto"/>
      </w:divBdr>
    </w:div>
    <w:div w:id="1511673798">
      <w:bodyDiv w:val="1"/>
      <w:marLeft w:val="0"/>
      <w:marRight w:val="0"/>
      <w:marTop w:val="0"/>
      <w:marBottom w:val="0"/>
      <w:divBdr>
        <w:top w:val="none" w:sz="0" w:space="0" w:color="auto"/>
        <w:left w:val="none" w:sz="0" w:space="0" w:color="auto"/>
        <w:bottom w:val="none" w:sz="0" w:space="0" w:color="auto"/>
        <w:right w:val="none" w:sz="0" w:space="0" w:color="auto"/>
      </w:divBdr>
    </w:div>
    <w:div w:id="1523396757">
      <w:bodyDiv w:val="1"/>
      <w:marLeft w:val="0"/>
      <w:marRight w:val="0"/>
      <w:marTop w:val="0"/>
      <w:marBottom w:val="0"/>
      <w:divBdr>
        <w:top w:val="none" w:sz="0" w:space="0" w:color="auto"/>
        <w:left w:val="none" w:sz="0" w:space="0" w:color="auto"/>
        <w:bottom w:val="none" w:sz="0" w:space="0" w:color="auto"/>
        <w:right w:val="none" w:sz="0" w:space="0" w:color="auto"/>
      </w:divBdr>
      <w:divsChild>
        <w:div w:id="1523087902">
          <w:marLeft w:val="0"/>
          <w:marRight w:val="0"/>
          <w:marTop w:val="0"/>
          <w:marBottom w:val="0"/>
          <w:divBdr>
            <w:top w:val="none" w:sz="0" w:space="0" w:color="auto"/>
            <w:left w:val="none" w:sz="0" w:space="0" w:color="auto"/>
            <w:bottom w:val="none" w:sz="0" w:space="0" w:color="auto"/>
            <w:right w:val="none" w:sz="0" w:space="0" w:color="auto"/>
          </w:divBdr>
        </w:div>
        <w:div w:id="19207657">
          <w:marLeft w:val="0"/>
          <w:marRight w:val="0"/>
          <w:marTop w:val="0"/>
          <w:marBottom w:val="0"/>
          <w:divBdr>
            <w:top w:val="none" w:sz="0" w:space="0" w:color="auto"/>
            <w:left w:val="none" w:sz="0" w:space="0" w:color="auto"/>
            <w:bottom w:val="none" w:sz="0" w:space="0" w:color="auto"/>
            <w:right w:val="none" w:sz="0" w:space="0" w:color="auto"/>
          </w:divBdr>
        </w:div>
        <w:div w:id="429862727">
          <w:marLeft w:val="0"/>
          <w:marRight w:val="0"/>
          <w:marTop w:val="0"/>
          <w:marBottom w:val="0"/>
          <w:divBdr>
            <w:top w:val="none" w:sz="0" w:space="0" w:color="auto"/>
            <w:left w:val="none" w:sz="0" w:space="0" w:color="auto"/>
            <w:bottom w:val="none" w:sz="0" w:space="0" w:color="auto"/>
            <w:right w:val="none" w:sz="0" w:space="0" w:color="auto"/>
          </w:divBdr>
        </w:div>
      </w:divsChild>
    </w:div>
    <w:div w:id="1540244775">
      <w:bodyDiv w:val="1"/>
      <w:marLeft w:val="0"/>
      <w:marRight w:val="0"/>
      <w:marTop w:val="0"/>
      <w:marBottom w:val="0"/>
      <w:divBdr>
        <w:top w:val="none" w:sz="0" w:space="0" w:color="auto"/>
        <w:left w:val="none" w:sz="0" w:space="0" w:color="auto"/>
        <w:bottom w:val="none" w:sz="0" w:space="0" w:color="auto"/>
        <w:right w:val="none" w:sz="0" w:space="0" w:color="auto"/>
      </w:divBdr>
      <w:divsChild>
        <w:div w:id="1588154870">
          <w:marLeft w:val="0"/>
          <w:marRight w:val="0"/>
          <w:marTop w:val="0"/>
          <w:marBottom w:val="0"/>
          <w:divBdr>
            <w:top w:val="none" w:sz="0" w:space="0" w:color="auto"/>
            <w:left w:val="none" w:sz="0" w:space="0" w:color="auto"/>
            <w:bottom w:val="none" w:sz="0" w:space="0" w:color="auto"/>
            <w:right w:val="none" w:sz="0" w:space="0" w:color="auto"/>
          </w:divBdr>
          <w:divsChild>
            <w:div w:id="955210214">
              <w:marLeft w:val="0"/>
              <w:marRight w:val="0"/>
              <w:marTop w:val="0"/>
              <w:marBottom w:val="0"/>
              <w:divBdr>
                <w:top w:val="none" w:sz="0" w:space="0" w:color="auto"/>
                <w:left w:val="none" w:sz="0" w:space="0" w:color="auto"/>
                <w:bottom w:val="none" w:sz="0" w:space="0" w:color="auto"/>
                <w:right w:val="none" w:sz="0" w:space="0" w:color="auto"/>
              </w:divBdr>
              <w:divsChild>
                <w:div w:id="1043944135">
                  <w:marLeft w:val="0"/>
                  <w:marRight w:val="0"/>
                  <w:marTop w:val="0"/>
                  <w:marBottom w:val="0"/>
                  <w:divBdr>
                    <w:top w:val="none" w:sz="0" w:space="0" w:color="auto"/>
                    <w:left w:val="none" w:sz="0" w:space="0" w:color="auto"/>
                    <w:bottom w:val="none" w:sz="0" w:space="0" w:color="auto"/>
                    <w:right w:val="none" w:sz="0" w:space="0" w:color="auto"/>
                  </w:divBdr>
                  <w:divsChild>
                    <w:div w:id="15047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6667">
      <w:bodyDiv w:val="1"/>
      <w:marLeft w:val="0"/>
      <w:marRight w:val="0"/>
      <w:marTop w:val="0"/>
      <w:marBottom w:val="0"/>
      <w:divBdr>
        <w:top w:val="none" w:sz="0" w:space="0" w:color="auto"/>
        <w:left w:val="none" w:sz="0" w:space="0" w:color="auto"/>
        <w:bottom w:val="none" w:sz="0" w:space="0" w:color="auto"/>
        <w:right w:val="none" w:sz="0" w:space="0" w:color="auto"/>
      </w:divBdr>
      <w:divsChild>
        <w:div w:id="1701391836">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565212474">
      <w:bodyDiv w:val="1"/>
      <w:marLeft w:val="0"/>
      <w:marRight w:val="0"/>
      <w:marTop w:val="0"/>
      <w:marBottom w:val="0"/>
      <w:divBdr>
        <w:top w:val="none" w:sz="0" w:space="0" w:color="auto"/>
        <w:left w:val="none" w:sz="0" w:space="0" w:color="auto"/>
        <w:bottom w:val="none" w:sz="0" w:space="0" w:color="auto"/>
        <w:right w:val="none" w:sz="0" w:space="0" w:color="auto"/>
      </w:divBdr>
    </w:div>
    <w:div w:id="1565216325">
      <w:bodyDiv w:val="1"/>
      <w:marLeft w:val="0"/>
      <w:marRight w:val="0"/>
      <w:marTop w:val="0"/>
      <w:marBottom w:val="0"/>
      <w:divBdr>
        <w:top w:val="none" w:sz="0" w:space="0" w:color="auto"/>
        <w:left w:val="none" w:sz="0" w:space="0" w:color="auto"/>
        <w:bottom w:val="none" w:sz="0" w:space="0" w:color="auto"/>
        <w:right w:val="none" w:sz="0" w:space="0" w:color="auto"/>
      </w:divBdr>
    </w:div>
    <w:div w:id="1568420794">
      <w:bodyDiv w:val="1"/>
      <w:marLeft w:val="0"/>
      <w:marRight w:val="0"/>
      <w:marTop w:val="0"/>
      <w:marBottom w:val="0"/>
      <w:divBdr>
        <w:top w:val="none" w:sz="0" w:space="0" w:color="auto"/>
        <w:left w:val="none" w:sz="0" w:space="0" w:color="auto"/>
        <w:bottom w:val="none" w:sz="0" w:space="0" w:color="auto"/>
        <w:right w:val="none" w:sz="0" w:space="0" w:color="auto"/>
      </w:divBdr>
    </w:div>
    <w:div w:id="1587034126">
      <w:bodyDiv w:val="1"/>
      <w:marLeft w:val="0"/>
      <w:marRight w:val="0"/>
      <w:marTop w:val="0"/>
      <w:marBottom w:val="0"/>
      <w:divBdr>
        <w:top w:val="none" w:sz="0" w:space="0" w:color="auto"/>
        <w:left w:val="none" w:sz="0" w:space="0" w:color="auto"/>
        <w:bottom w:val="none" w:sz="0" w:space="0" w:color="auto"/>
        <w:right w:val="none" w:sz="0" w:space="0" w:color="auto"/>
      </w:divBdr>
      <w:divsChild>
        <w:div w:id="199583645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604533053">
      <w:bodyDiv w:val="1"/>
      <w:marLeft w:val="0"/>
      <w:marRight w:val="0"/>
      <w:marTop w:val="0"/>
      <w:marBottom w:val="0"/>
      <w:divBdr>
        <w:top w:val="none" w:sz="0" w:space="0" w:color="auto"/>
        <w:left w:val="none" w:sz="0" w:space="0" w:color="auto"/>
        <w:bottom w:val="none" w:sz="0" w:space="0" w:color="auto"/>
        <w:right w:val="none" w:sz="0" w:space="0" w:color="auto"/>
      </w:divBdr>
    </w:div>
    <w:div w:id="1605111405">
      <w:bodyDiv w:val="1"/>
      <w:marLeft w:val="0"/>
      <w:marRight w:val="0"/>
      <w:marTop w:val="0"/>
      <w:marBottom w:val="0"/>
      <w:divBdr>
        <w:top w:val="none" w:sz="0" w:space="0" w:color="auto"/>
        <w:left w:val="none" w:sz="0" w:space="0" w:color="auto"/>
        <w:bottom w:val="none" w:sz="0" w:space="0" w:color="auto"/>
        <w:right w:val="none" w:sz="0" w:space="0" w:color="auto"/>
      </w:divBdr>
    </w:div>
    <w:div w:id="1640913060">
      <w:bodyDiv w:val="1"/>
      <w:marLeft w:val="0"/>
      <w:marRight w:val="0"/>
      <w:marTop w:val="0"/>
      <w:marBottom w:val="0"/>
      <w:divBdr>
        <w:top w:val="none" w:sz="0" w:space="0" w:color="auto"/>
        <w:left w:val="none" w:sz="0" w:space="0" w:color="auto"/>
        <w:bottom w:val="none" w:sz="0" w:space="0" w:color="auto"/>
        <w:right w:val="none" w:sz="0" w:space="0" w:color="auto"/>
      </w:divBdr>
    </w:div>
    <w:div w:id="1644961685">
      <w:bodyDiv w:val="1"/>
      <w:marLeft w:val="0"/>
      <w:marRight w:val="0"/>
      <w:marTop w:val="0"/>
      <w:marBottom w:val="0"/>
      <w:divBdr>
        <w:top w:val="none" w:sz="0" w:space="0" w:color="auto"/>
        <w:left w:val="none" w:sz="0" w:space="0" w:color="auto"/>
        <w:bottom w:val="none" w:sz="0" w:space="0" w:color="auto"/>
        <w:right w:val="none" w:sz="0" w:space="0" w:color="auto"/>
      </w:divBdr>
    </w:div>
    <w:div w:id="1647860143">
      <w:bodyDiv w:val="1"/>
      <w:marLeft w:val="0"/>
      <w:marRight w:val="0"/>
      <w:marTop w:val="0"/>
      <w:marBottom w:val="0"/>
      <w:divBdr>
        <w:top w:val="none" w:sz="0" w:space="0" w:color="auto"/>
        <w:left w:val="none" w:sz="0" w:space="0" w:color="auto"/>
        <w:bottom w:val="none" w:sz="0" w:space="0" w:color="auto"/>
        <w:right w:val="none" w:sz="0" w:space="0" w:color="auto"/>
      </w:divBdr>
    </w:div>
    <w:div w:id="1671714193">
      <w:bodyDiv w:val="1"/>
      <w:marLeft w:val="0"/>
      <w:marRight w:val="0"/>
      <w:marTop w:val="0"/>
      <w:marBottom w:val="0"/>
      <w:divBdr>
        <w:top w:val="none" w:sz="0" w:space="0" w:color="auto"/>
        <w:left w:val="none" w:sz="0" w:space="0" w:color="auto"/>
        <w:bottom w:val="none" w:sz="0" w:space="0" w:color="auto"/>
        <w:right w:val="none" w:sz="0" w:space="0" w:color="auto"/>
      </w:divBdr>
    </w:div>
    <w:div w:id="1673529878">
      <w:bodyDiv w:val="1"/>
      <w:marLeft w:val="0"/>
      <w:marRight w:val="0"/>
      <w:marTop w:val="0"/>
      <w:marBottom w:val="0"/>
      <w:divBdr>
        <w:top w:val="none" w:sz="0" w:space="0" w:color="auto"/>
        <w:left w:val="none" w:sz="0" w:space="0" w:color="auto"/>
        <w:bottom w:val="none" w:sz="0" w:space="0" w:color="auto"/>
        <w:right w:val="none" w:sz="0" w:space="0" w:color="auto"/>
      </w:divBdr>
    </w:div>
    <w:div w:id="1683169981">
      <w:bodyDiv w:val="1"/>
      <w:marLeft w:val="0"/>
      <w:marRight w:val="0"/>
      <w:marTop w:val="0"/>
      <w:marBottom w:val="0"/>
      <w:divBdr>
        <w:top w:val="none" w:sz="0" w:space="0" w:color="auto"/>
        <w:left w:val="none" w:sz="0" w:space="0" w:color="auto"/>
        <w:bottom w:val="none" w:sz="0" w:space="0" w:color="auto"/>
        <w:right w:val="none" w:sz="0" w:space="0" w:color="auto"/>
      </w:divBdr>
    </w:div>
    <w:div w:id="1684429508">
      <w:bodyDiv w:val="1"/>
      <w:marLeft w:val="0"/>
      <w:marRight w:val="0"/>
      <w:marTop w:val="0"/>
      <w:marBottom w:val="0"/>
      <w:divBdr>
        <w:top w:val="none" w:sz="0" w:space="0" w:color="auto"/>
        <w:left w:val="none" w:sz="0" w:space="0" w:color="auto"/>
        <w:bottom w:val="none" w:sz="0" w:space="0" w:color="auto"/>
        <w:right w:val="none" w:sz="0" w:space="0" w:color="auto"/>
      </w:divBdr>
    </w:div>
    <w:div w:id="1724018961">
      <w:bodyDiv w:val="1"/>
      <w:marLeft w:val="0"/>
      <w:marRight w:val="0"/>
      <w:marTop w:val="0"/>
      <w:marBottom w:val="0"/>
      <w:divBdr>
        <w:top w:val="none" w:sz="0" w:space="0" w:color="auto"/>
        <w:left w:val="none" w:sz="0" w:space="0" w:color="auto"/>
        <w:bottom w:val="none" w:sz="0" w:space="0" w:color="auto"/>
        <w:right w:val="none" w:sz="0" w:space="0" w:color="auto"/>
      </w:divBdr>
      <w:divsChild>
        <w:div w:id="2126263943">
          <w:marLeft w:val="0"/>
          <w:marRight w:val="0"/>
          <w:marTop w:val="0"/>
          <w:marBottom w:val="0"/>
          <w:divBdr>
            <w:top w:val="none" w:sz="0" w:space="0" w:color="auto"/>
            <w:left w:val="none" w:sz="0" w:space="0" w:color="auto"/>
            <w:bottom w:val="none" w:sz="0" w:space="0" w:color="auto"/>
            <w:right w:val="none" w:sz="0" w:space="0" w:color="auto"/>
          </w:divBdr>
          <w:divsChild>
            <w:div w:id="840850558">
              <w:marLeft w:val="0"/>
              <w:marRight w:val="0"/>
              <w:marTop w:val="0"/>
              <w:marBottom w:val="0"/>
              <w:divBdr>
                <w:top w:val="none" w:sz="0" w:space="0" w:color="auto"/>
                <w:left w:val="none" w:sz="0" w:space="0" w:color="auto"/>
                <w:bottom w:val="none" w:sz="0" w:space="0" w:color="auto"/>
                <w:right w:val="none" w:sz="0" w:space="0" w:color="auto"/>
              </w:divBdr>
              <w:divsChild>
                <w:div w:id="98453403">
                  <w:marLeft w:val="0"/>
                  <w:marRight w:val="0"/>
                  <w:marTop w:val="0"/>
                  <w:marBottom w:val="0"/>
                  <w:divBdr>
                    <w:top w:val="none" w:sz="0" w:space="0" w:color="auto"/>
                    <w:left w:val="none" w:sz="0" w:space="0" w:color="auto"/>
                    <w:bottom w:val="none" w:sz="0" w:space="0" w:color="auto"/>
                    <w:right w:val="none" w:sz="0" w:space="0" w:color="auto"/>
                  </w:divBdr>
                  <w:divsChild>
                    <w:div w:id="71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257372">
      <w:bodyDiv w:val="1"/>
      <w:marLeft w:val="0"/>
      <w:marRight w:val="0"/>
      <w:marTop w:val="0"/>
      <w:marBottom w:val="0"/>
      <w:divBdr>
        <w:top w:val="none" w:sz="0" w:space="0" w:color="auto"/>
        <w:left w:val="none" w:sz="0" w:space="0" w:color="auto"/>
        <w:bottom w:val="none" w:sz="0" w:space="0" w:color="auto"/>
        <w:right w:val="none" w:sz="0" w:space="0" w:color="auto"/>
      </w:divBdr>
    </w:div>
    <w:div w:id="1738284192">
      <w:bodyDiv w:val="1"/>
      <w:marLeft w:val="0"/>
      <w:marRight w:val="0"/>
      <w:marTop w:val="0"/>
      <w:marBottom w:val="0"/>
      <w:divBdr>
        <w:top w:val="none" w:sz="0" w:space="0" w:color="auto"/>
        <w:left w:val="none" w:sz="0" w:space="0" w:color="auto"/>
        <w:bottom w:val="none" w:sz="0" w:space="0" w:color="auto"/>
        <w:right w:val="none" w:sz="0" w:space="0" w:color="auto"/>
      </w:divBdr>
    </w:div>
    <w:div w:id="1759643166">
      <w:bodyDiv w:val="1"/>
      <w:marLeft w:val="0"/>
      <w:marRight w:val="0"/>
      <w:marTop w:val="0"/>
      <w:marBottom w:val="0"/>
      <w:divBdr>
        <w:top w:val="none" w:sz="0" w:space="0" w:color="auto"/>
        <w:left w:val="none" w:sz="0" w:space="0" w:color="auto"/>
        <w:bottom w:val="none" w:sz="0" w:space="0" w:color="auto"/>
        <w:right w:val="none" w:sz="0" w:space="0" w:color="auto"/>
      </w:divBdr>
    </w:div>
    <w:div w:id="1785341030">
      <w:bodyDiv w:val="1"/>
      <w:marLeft w:val="0"/>
      <w:marRight w:val="0"/>
      <w:marTop w:val="0"/>
      <w:marBottom w:val="0"/>
      <w:divBdr>
        <w:top w:val="none" w:sz="0" w:space="0" w:color="auto"/>
        <w:left w:val="none" w:sz="0" w:space="0" w:color="auto"/>
        <w:bottom w:val="none" w:sz="0" w:space="0" w:color="auto"/>
        <w:right w:val="none" w:sz="0" w:space="0" w:color="auto"/>
      </w:divBdr>
      <w:divsChild>
        <w:div w:id="1895313551">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750614589">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895968097">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2150003">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 w:id="1477794300">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788700716">
      <w:bodyDiv w:val="1"/>
      <w:marLeft w:val="0"/>
      <w:marRight w:val="0"/>
      <w:marTop w:val="0"/>
      <w:marBottom w:val="0"/>
      <w:divBdr>
        <w:top w:val="none" w:sz="0" w:space="0" w:color="auto"/>
        <w:left w:val="none" w:sz="0" w:space="0" w:color="auto"/>
        <w:bottom w:val="none" w:sz="0" w:space="0" w:color="auto"/>
        <w:right w:val="none" w:sz="0" w:space="0" w:color="auto"/>
      </w:divBdr>
    </w:div>
    <w:div w:id="1820221658">
      <w:bodyDiv w:val="1"/>
      <w:marLeft w:val="0"/>
      <w:marRight w:val="0"/>
      <w:marTop w:val="0"/>
      <w:marBottom w:val="0"/>
      <w:divBdr>
        <w:top w:val="none" w:sz="0" w:space="0" w:color="auto"/>
        <w:left w:val="none" w:sz="0" w:space="0" w:color="auto"/>
        <w:bottom w:val="none" w:sz="0" w:space="0" w:color="auto"/>
        <w:right w:val="none" w:sz="0" w:space="0" w:color="auto"/>
      </w:divBdr>
    </w:div>
    <w:div w:id="1848910649">
      <w:bodyDiv w:val="1"/>
      <w:marLeft w:val="0"/>
      <w:marRight w:val="0"/>
      <w:marTop w:val="0"/>
      <w:marBottom w:val="0"/>
      <w:divBdr>
        <w:top w:val="none" w:sz="0" w:space="0" w:color="auto"/>
        <w:left w:val="none" w:sz="0" w:space="0" w:color="auto"/>
        <w:bottom w:val="none" w:sz="0" w:space="0" w:color="auto"/>
        <w:right w:val="none" w:sz="0" w:space="0" w:color="auto"/>
      </w:divBdr>
    </w:div>
    <w:div w:id="1870988490">
      <w:bodyDiv w:val="1"/>
      <w:marLeft w:val="0"/>
      <w:marRight w:val="0"/>
      <w:marTop w:val="0"/>
      <w:marBottom w:val="0"/>
      <w:divBdr>
        <w:top w:val="none" w:sz="0" w:space="0" w:color="auto"/>
        <w:left w:val="none" w:sz="0" w:space="0" w:color="auto"/>
        <w:bottom w:val="none" w:sz="0" w:space="0" w:color="auto"/>
        <w:right w:val="none" w:sz="0" w:space="0" w:color="auto"/>
      </w:divBdr>
    </w:div>
    <w:div w:id="1874069782">
      <w:bodyDiv w:val="1"/>
      <w:marLeft w:val="0"/>
      <w:marRight w:val="0"/>
      <w:marTop w:val="0"/>
      <w:marBottom w:val="0"/>
      <w:divBdr>
        <w:top w:val="none" w:sz="0" w:space="0" w:color="auto"/>
        <w:left w:val="none" w:sz="0" w:space="0" w:color="auto"/>
        <w:bottom w:val="none" w:sz="0" w:space="0" w:color="auto"/>
        <w:right w:val="none" w:sz="0" w:space="0" w:color="auto"/>
      </w:divBdr>
    </w:div>
    <w:div w:id="1882669802">
      <w:bodyDiv w:val="1"/>
      <w:marLeft w:val="0"/>
      <w:marRight w:val="0"/>
      <w:marTop w:val="0"/>
      <w:marBottom w:val="0"/>
      <w:divBdr>
        <w:top w:val="none" w:sz="0" w:space="0" w:color="auto"/>
        <w:left w:val="none" w:sz="0" w:space="0" w:color="auto"/>
        <w:bottom w:val="none" w:sz="0" w:space="0" w:color="auto"/>
        <w:right w:val="none" w:sz="0" w:space="0" w:color="auto"/>
      </w:divBdr>
    </w:div>
    <w:div w:id="1893271593">
      <w:bodyDiv w:val="1"/>
      <w:marLeft w:val="0"/>
      <w:marRight w:val="0"/>
      <w:marTop w:val="0"/>
      <w:marBottom w:val="0"/>
      <w:divBdr>
        <w:top w:val="none" w:sz="0" w:space="0" w:color="auto"/>
        <w:left w:val="none" w:sz="0" w:space="0" w:color="auto"/>
        <w:bottom w:val="none" w:sz="0" w:space="0" w:color="auto"/>
        <w:right w:val="none" w:sz="0" w:space="0" w:color="auto"/>
      </w:divBdr>
      <w:divsChild>
        <w:div w:id="166754425">
          <w:blockQuote w:val="1"/>
          <w:marLeft w:val="0"/>
          <w:marRight w:val="0"/>
          <w:marTop w:val="75"/>
          <w:marBottom w:val="75"/>
          <w:divBdr>
            <w:top w:val="single" w:sz="6" w:space="8" w:color="BBBBBB"/>
            <w:left w:val="single" w:sz="6" w:space="31" w:color="BBBBBB"/>
            <w:bottom w:val="single" w:sz="6" w:space="4" w:color="BBBBBB"/>
            <w:right w:val="single" w:sz="6" w:space="4" w:color="BBBBBB"/>
          </w:divBdr>
        </w:div>
      </w:divsChild>
    </w:div>
    <w:div w:id="1894778192">
      <w:bodyDiv w:val="1"/>
      <w:marLeft w:val="0"/>
      <w:marRight w:val="0"/>
      <w:marTop w:val="0"/>
      <w:marBottom w:val="0"/>
      <w:divBdr>
        <w:top w:val="none" w:sz="0" w:space="0" w:color="auto"/>
        <w:left w:val="none" w:sz="0" w:space="0" w:color="auto"/>
        <w:bottom w:val="none" w:sz="0" w:space="0" w:color="auto"/>
        <w:right w:val="none" w:sz="0" w:space="0" w:color="auto"/>
      </w:divBdr>
    </w:div>
    <w:div w:id="1918326115">
      <w:bodyDiv w:val="1"/>
      <w:marLeft w:val="0"/>
      <w:marRight w:val="0"/>
      <w:marTop w:val="0"/>
      <w:marBottom w:val="0"/>
      <w:divBdr>
        <w:top w:val="none" w:sz="0" w:space="0" w:color="auto"/>
        <w:left w:val="none" w:sz="0" w:space="0" w:color="auto"/>
        <w:bottom w:val="none" w:sz="0" w:space="0" w:color="auto"/>
        <w:right w:val="none" w:sz="0" w:space="0" w:color="auto"/>
      </w:divBdr>
    </w:div>
    <w:div w:id="1921986536">
      <w:bodyDiv w:val="1"/>
      <w:marLeft w:val="0"/>
      <w:marRight w:val="0"/>
      <w:marTop w:val="0"/>
      <w:marBottom w:val="0"/>
      <w:divBdr>
        <w:top w:val="none" w:sz="0" w:space="0" w:color="auto"/>
        <w:left w:val="none" w:sz="0" w:space="0" w:color="auto"/>
        <w:bottom w:val="none" w:sz="0" w:space="0" w:color="auto"/>
        <w:right w:val="none" w:sz="0" w:space="0" w:color="auto"/>
      </w:divBdr>
    </w:div>
    <w:div w:id="1939217318">
      <w:bodyDiv w:val="1"/>
      <w:marLeft w:val="0"/>
      <w:marRight w:val="0"/>
      <w:marTop w:val="0"/>
      <w:marBottom w:val="0"/>
      <w:divBdr>
        <w:top w:val="none" w:sz="0" w:space="0" w:color="auto"/>
        <w:left w:val="none" w:sz="0" w:space="0" w:color="auto"/>
        <w:bottom w:val="none" w:sz="0" w:space="0" w:color="auto"/>
        <w:right w:val="none" w:sz="0" w:space="0" w:color="auto"/>
      </w:divBdr>
    </w:div>
    <w:div w:id="1949582022">
      <w:bodyDiv w:val="1"/>
      <w:marLeft w:val="0"/>
      <w:marRight w:val="0"/>
      <w:marTop w:val="0"/>
      <w:marBottom w:val="0"/>
      <w:divBdr>
        <w:top w:val="none" w:sz="0" w:space="0" w:color="auto"/>
        <w:left w:val="none" w:sz="0" w:space="0" w:color="auto"/>
        <w:bottom w:val="none" w:sz="0" w:space="0" w:color="auto"/>
        <w:right w:val="none" w:sz="0" w:space="0" w:color="auto"/>
      </w:divBdr>
    </w:div>
    <w:div w:id="1970472190">
      <w:bodyDiv w:val="1"/>
      <w:marLeft w:val="0"/>
      <w:marRight w:val="0"/>
      <w:marTop w:val="0"/>
      <w:marBottom w:val="0"/>
      <w:divBdr>
        <w:top w:val="none" w:sz="0" w:space="0" w:color="auto"/>
        <w:left w:val="none" w:sz="0" w:space="0" w:color="auto"/>
        <w:bottom w:val="none" w:sz="0" w:space="0" w:color="auto"/>
        <w:right w:val="none" w:sz="0" w:space="0" w:color="auto"/>
      </w:divBdr>
    </w:div>
    <w:div w:id="1994680365">
      <w:bodyDiv w:val="1"/>
      <w:marLeft w:val="0"/>
      <w:marRight w:val="0"/>
      <w:marTop w:val="0"/>
      <w:marBottom w:val="0"/>
      <w:divBdr>
        <w:top w:val="none" w:sz="0" w:space="0" w:color="auto"/>
        <w:left w:val="none" w:sz="0" w:space="0" w:color="auto"/>
        <w:bottom w:val="none" w:sz="0" w:space="0" w:color="auto"/>
        <w:right w:val="none" w:sz="0" w:space="0" w:color="auto"/>
      </w:divBdr>
    </w:div>
    <w:div w:id="2015838759">
      <w:bodyDiv w:val="1"/>
      <w:marLeft w:val="0"/>
      <w:marRight w:val="0"/>
      <w:marTop w:val="0"/>
      <w:marBottom w:val="0"/>
      <w:divBdr>
        <w:top w:val="none" w:sz="0" w:space="0" w:color="auto"/>
        <w:left w:val="none" w:sz="0" w:space="0" w:color="auto"/>
        <w:bottom w:val="none" w:sz="0" w:space="0" w:color="auto"/>
        <w:right w:val="none" w:sz="0" w:space="0" w:color="auto"/>
      </w:divBdr>
    </w:div>
    <w:div w:id="2021277009">
      <w:bodyDiv w:val="1"/>
      <w:marLeft w:val="0"/>
      <w:marRight w:val="0"/>
      <w:marTop w:val="0"/>
      <w:marBottom w:val="0"/>
      <w:divBdr>
        <w:top w:val="none" w:sz="0" w:space="0" w:color="auto"/>
        <w:left w:val="none" w:sz="0" w:space="0" w:color="auto"/>
        <w:bottom w:val="none" w:sz="0" w:space="0" w:color="auto"/>
        <w:right w:val="none" w:sz="0" w:space="0" w:color="auto"/>
      </w:divBdr>
    </w:div>
    <w:div w:id="2022705283">
      <w:bodyDiv w:val="1"/>
      <w:marLeft w:val="0"/>
      <w:marRight w:val="0"/>
      <w:marTop w:val="0"/>
      <w:marBottom w:val="0"/>
      <w:divBdr>
        <w:top w:val="none" w:sz="0" w:space="0" w:color="auto"/>
        <w:left w:val="none" w:sz="0" w:space="0" w:color="auto"/>
        <w:bottom w:val="none" w:sz="0" w:space="0" w:color="auto"/>
        <w:right w:val="none" w:sz="0" w:space="0" w:color="auto"/>
      </w:divBdr>
    </w:div>
    <w:div w:id="2048992457">
      <w:bodyDiv w:val="1"/>
      <w:marLeft w:val="0"/>
      <w:marRight w:val="0"/>
      <w:marTop w:val="0"/>
      <w:marBottom w:val="0"/>
      <w:divBdr>
        <w:top w:val="none" w:sz="0" w:space="0" w:color="auto"/>
        <w:left w:val="none" w:sz="0" w:space="0" w:color="auto"/>
        <w:bottom w:val="none" w:sz="0" w:space="0" w:color="auto"/>
        <w:right w:val="none" w:sz="0" w:space="0" w:color="auto"/>
      </w:divBdr>
    </w:div>
    <w:div w:id="2070155183">
      <w:bodyDiv w:val="1"/>
      <w:marLeft w:val="0"/>
      <w:marRight w:val="0"/>
      <w:marTop w:val="0"/>
      <w:marBottom w:val="0"/>
      <w:divBdr>
        <w:top w:val="none" w:sz="0" w:space="0" w:color="auto"/>
        <w:left w:val="none" w:sz="0" w:space="0" w:color="auto"/>
        <w:bottom w:val="none" w:sz="0" w:space="0" w:color="auto"/>
        <w:right w:val="none" w:sz="0" w:space="0" w:color="auto"/>
      </w:divBdr>
    </w:div>
    <w:div w:id="2099597127">
      <w:bodyDiv w:val="1"/>
      <w:marLeft w:val="0"/>
      <w:marRight w:val="0"/>
      <w:marTop w:val="0"/>
      <w:marBottom w:val="0"/>
      <w:divBdr>
        <w:top w:val="none" w:sz="0" w:space="0" w:color="auto"/>
        <w:left w:val="none" w:sz="0" w:space="0" w:color="auto"/>
        <w:bottom w:val="none" w:sz="0" w:space="0" w:color="auto"/>
        <w:right w:val="none" w:sz="0" w:space="0" w:color="auto"/>
      </w:divBdr>
    </w:div>
    <w:div w:id="2116633110">
      <w:bodyDiv w:val="1"/>
      <w:marLeft w:val="0"/>
      <w:marRight w:val="0"/>
      <w:marTop w:val="0"/>
      <w:marBottom w:val="0"/>
      <w:divBdr>
        <w:top w:val="none" w:sz="0" w:space="0" w:color="auto"/>
        <w:left w:val="none" w:sz="0" w:space="0" w:color="auto"/>
        <w:bottom w:val="none" w:sz="0" w:space="0" w:color="auto"/>
        <w:right w:val="none" w:sz="0" w:space="0" w:color="auto"/>
      </w:divBdr>
    </w:div>
    <w:div w:id="2117484515">
      <w:bodyDiv w:val="1"/>
      <w:marLeft w:val="0"/>
      <w:marRight w:val="0"/>
      <w:marTop w:val="0"/>
      <w:marBottom w:val="0"/>
      <w:divBdr>
        <w:top w:val="none" w:sz="0" w:space="0" w:color="auto"/>
        <w:left w:val="none" w:sz="0" w:space="0" w:color="auto"/>
        <w:bottom w:val="none" w:sz="0" w:space="0" w:color="auto"/>
        <w:right w:val="none" w:sz="0" w:space="0" w:color="auto"/>
      </w:divBdr>
    </w:div>
    <w:div w:id="2123566701">
      <w:bodyDiv w:val="1"/>
      <w:marLeft w:val="0"/>
      <w:marRight w:val="0"/>
      <w:marTop w:val="0"/>
      <w:marBottom w:val="0"/>
      <w:divBdr>
        <w:top w:val="none" w:sz="0" w:space="0" w:color="auto"/>
        <w:left w:val="none" w:sz="0" w:space="0" w:color="auto"/>
        <w:bottom w:val="none" w:sz="0" w:space="0" w:color="auto"/>
        <w:right w:val="none" w:sz="0" w:space="0" w:color="auto"/>
      </w:divBdr>
    </w:div>
    <w:div w:id="2136633417">
      <w:bodyDiv w:val="1"/>
      <w:marLeft w:val="0"/>
      <w:marRight w:val="0"/>
      <w:marTop w:val="0"/>
      <w:marBottom w:val="0"/>
      <w:divBdr>
        <w:top w:val="none" w:sz="0" w:space="0" w:color="auto"/>
        <w:left w:val="none" w:sz="0" w:space="0" w:color="auto"/>
        <w:bottom w:val="none" w:sz="0" w:space="0" w:color="auto"/>
        <w:right w:val="none" w:sz="0" w:space="0" w:color="auto"/>
      </w:divBdr>
      <w:divsChild>
        <w:div w:id="1694959363">
          <w:marLeft w:val="0"/>
          <w:marRight w:val="0"/>
          <w:marTop w:val="0"/>
          <w:marBottom w:val="0"/>
          <w:divBdr>
            <w:top w:val="none" w:sz="0" w:space="0" w:color="auto"/>
            <w:left w:val="none" w:sz="0" w:space="0" w:color="auto"/>
            <w:bottom w:val="none" w:sz="0" w:space="0" w:color="auto"/>
            <w:right w:val="none" w:sz="0" w:space="0" w:color="auto"/>
          </w:divBdr>
          <w:divsChild>
            <w:div w:id="861364334">
              <w:marLeft w:val="0"/>
              <w:marRight w:val="0"/>
              <w:marTop w:val="120"/>
              <w:marBottom w:val="0"/>
              <w:divBdr>
                <w:top w:val="none" w:sz="0" w:space="0" w:color="auto"/>
                <w:left w:val="none" w:sz="0" w:space="0" w:color="auto"/>
                <w:bottom w:val="none" w:sz="0" w:space="0" w:color="auto"/>
                <w:right w:val="none" w:sz="0" w:space="0" w:color="auto"/>
              </w:divBdr>
            </w:div>
            <w:div w:id="1375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i.bg/news/godishniyat-otchet-za-deinostta-prez-2022-g-vklyuchitelno-i-na-zemedelskite-stopani-se-podava-v-nsi-do-30-yuni-1441" TargetMode="External"/><Relationship Id="rId13" Type="http://schemas.openxmlformats.org/officeDocument/2006/relationships/hyperlink" Target="https://www.moew.government.bg/bg/stanoviste-po-ekologichna-ocenka-5-4-2023-g-s-koeto-se-suglasuva-strategicheski-plan-za-razvitie-na-zemedelieto-i-selskite-rajoni-za-perioda-2023-2027-g/" TargetMode="External"/><Relationship Id="rId18" Type="http://schemas.openxmlformats.org/officeDocument/2006/relationships/hyperlink" Target="http://www.sp2023.bg/" TargetMode="External"/><Relationship Id="rId3" Type="http://schemas.openxmlformats.org/officeDocument/2006/relationships/styles" Target="styles.xml"/><Relationship Id="rId21" Type="http://schemas.openxmlformats.org/officeDocument/2006/relationships/header" Target="header1.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register.ksb.bg/" TargetMode="External"/><Relationship Id="rId17" Type="http://schemas.openxmlformats.org/officeDocument/2006/relationships/hyperlink" Target="https://www.mzh.government.bg/bg/press-center/novini/ministr-tahov-mzh-she-prodlzhi-da-nasrchava-biozem/" TargetMode="Externa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mzh.government.bg/bg/press-center/novini/zamestnik-ministr-d-r-lozana-vasileva-privlichanet/" TargetMode="External"/><Relationship Id="rId20" Type="http://schemas.openxmlformats.org/officeDocument/2006/relationships/hyperlink" Target="https://www.sp2023.bg/index.php/bg/intervencii/ii-i-2-profesionalno-obucenie-i-pridobivane-na-znani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ea.government.bg/bg/?option=com_grid&amp;gid=14_mg_0&amp;p=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zh.government.bg/bg/statistika-i-analizi/sistema-za-zemedelska-schetovodna-informaciya/sistemata/" TargetMode="External"/><Relationship Id="rId23" Type="http://schemas.openxmlformats.org/officeDocument/2006/relationships/fontTable" Target="fontTable.xml"/><Relationship Id="rId10" Type="http://schemas.openxmlformats.org/officeDocument/2006/relationships/hyperlink" Target="https://www.nsi.bg/news/godishniyat-otchet-za-deinostta-prez-2022-g-vklyuchitelno-i-na-zemedelskite-stopani-se-podava-v-nsi-do-30-yuni-1441" TargetMode="External"/><Relationship Id="rId19" Type="http://schemas.openxmlformats.org/officeDocument/2006/relationships/hyperlink" Target="https://www.sp2023.bg/index.php/bg/intervencii/ii-i-2-profesionalno-obucenie-i-pridobivane-na-znania-8" TargetMode="External"/><Relationship Id="rId4" Type="http://schemas.openxmlformats.org/officeDocument/2006/relationships/settings" Target="settings.xml"/><Relationship Id="rId9" Type="http://schemas.openxmlformats.org/officeDocument/2006/relationships/hyperlink" Target="https://www.fadn.bg/" TargetMode="External"/><Relationship Id="rId14" Type="http://schemas.openxmlformats.org/officeDocument/2006/relationships/hyperlink" Target="https://www.mzh.government.bg/bg/politiki-i-programi/politiki-i-strategii/politiki-po-agrohranitelnata-veriga/zashiteni-naimenovaniy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68F5-8E3E-4136-9E95-F08347D5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24502</Words>
  <Characters>139666</Characters>
  <Application>Microsoft Office Word</Application>
  <DocSecurity>0</DocSecurity>
  <Lines>1163</Lines>
  <Paragraphs>327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RSR</cp:lastModifiedBy>
  <cp:revision>5</cp:revision>
  <cp:lastPrinted>2025-11-20T15:59:00Z</cp:lastPrinted>
  <dcterms:created xsi:type="dcterms:W3CDTF">2025-12-05T14:19:00Z</dcterms:created>
  <dcterms:modified xsi:type="dcterms:W3CDTF">2025-12-05T14:19:00Z</dcterms:modified>
</cp:coreProperties>
</file>