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B4080" w14:textId="1160880E" w:rsidR="00BC5716" w:rsidRPr="006D0E97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6D0E97">
        <w:rPr>
          <w:b/>
          <w:sz w:val="28"/>
          <w:szCs w:val="28"/>
          <w:shd w:val="clear" w:color="auto" w:fill="FEFEFE"/>
          <w:lang w:val="bg-BG"/>
        </w:rPr>
        <w:t xml:space="preserve">Приложение № </w:t>
      </w:r>
      <w:r w:rsidR="005A47A7">
        <w:rPr>
          <w:b/>
          <w:sz w:val="28"/>
          <w:szCs w:val="28"/>
          <w:shd w:val="clear" w:color="auto" w:fill="FEFEFE"/>
          <w:lang w:val="bg-BG"/>
        </w:rPr>
        <w:t>5</w:t>
      </w:r>
      <w:r w:rsidRPr="006D0E97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14:paraId="6936384D" w14:textId="77777777" w:rsidR="00BC5716" w:rsidRPr="006D0E97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6D0E97">
        <w:rPr>
          <w:b/>
          <w:sz w:val="28"/>
          <w:szCs w:val="28"/>
          <w:shd w:val="clear" w:color="auto" w:fill="FEFEFE"/>
          <w:lang w:val="bg-BG"/>
        </w:rPr>
        <w:t xml:space="preserve">към Условията за кандидатстване </w:t>
      </w:r>
    </w:p>
    <w:p w14:paraId="01E80F96" w14:textId="77777777" w:rsidR="00121C3E" w:rsidRPr="008708F0" w:rsidRDefault="00121C3E" w:rsidP="005E2578">
      <w:pPr>
        <w:rPr>
          <w:sz w:val="28"/>
          <w:szCs w:val="28"/>
          <w:lang w:val="bg-BG"/>
        </w:rPr>
      </w:pPr>
    </w:p>
    <w:p w14:paraId="3EAA91E8" w14:textId="77777777" w:rsidR="00BC5716" w:rsidRDefault="00BC5716" w:rsidP="005E2578">
      <w:pPr>
        <w:rPr>
          <w:lang w:val="bg-BG"/>
        </w:rPr>
      </w:pPr>
    </w:p>
    <w:p w14:paraId="30AC55C4" w14:textId="77777777" w:rsidR="00BC5716" w:rsidRPr="00D80FE5" w:rsidRDefault="00BC5716" w:rsidP="005E2578">
      <w:pPr>
        <w:rPr>
          <w:lang w:val="bg-BG"/>
        </w:rPr>
      </w:pPr>
    </w:p>
    <w:p w14:paraId="5E62FA92" w14:textId="70B3EA28" w:rsidR="00F811D3" w:rsidRPr="001C5954" w:rsidRDefault="00121C3E" w:rsidP="005E2578">
      <w:pPr>
        <w:ind w:left="961" w:right="1060"/>
        <w:jc w:val="center"/>
        <w:rPr>
          <w:sz w:val="24"/>
          <w:szCs w:val="24"/>
          <w:lang w:val="bg-BG"/>
        </w:rPr>
      </w:pPr>
      <w:r w:rsidRPr="001C5954">
        <w:rPr>
          <w:b/>
          <w:sz w:val="24"/>
          <w:szCs w:val="24"/>
          <w:lang w:val="bg-BG"/>
        </w:rPr>
        <w:t>МЕТОДИКА ЗА ОПРЕДЕЛЯНЕ НА РАЗМЕРА НА ВЪЗНАГРАЖДЕНИЯТА ЗА ЛИЦАТА ПО Т</w:t>
      </w:r>
      <w:r w:rsidR="001C4D73" w:rsidRPr="001C5954">
        <w:rPr>
          <w:b/>
          <w:sz w:val="24"/>
          <w:szCs w:val="24"/>
          <w:lang w:val="bg-BG"/>
        </w:rPr>
        <w:t>. 3</w:t>
      </w:r>
      <w:r w:rsidRPr="001C5954">
        <w:rPr>
          <w:b/>
          <w:sz w:val="24"/>
          <w:szCs w:val="24"/>
          <w:lang w:val="bg-BG"/>
        </w:rPr>
        <w:t xml:space="preserve">, </w:t>
      </w:r>
      <w:r w:rsidR="00E0360E" w:rsidRPr="001C5954">
        <w:rPr>
          <w:b/>
          <w:sz w:val="24"/>
          <w:szCs w:val="24"/>
          <w:lang w:val="bg-BG"/>
        </w:rPr>
        <w:t>ОТ РАЗДЕЛ 12</w:t>
      </w:r>
      <w:r w:rsidR="00BC5716" w:rsidRPr="001C5954">
        <w:rPr>
          <w:b/>
          <w:sz w:val="24"/>
          <w:szCs w:val="24"/>
          <w:lang w:val="bg-BG"/>
        </w:rPr>
        <w:t xml:space="preserve"> </w:t>
      </w:r>
      <w:r w:rsidR="00E0360E" w:rsidRPr="001C5954">
        <w:rPr>
          <w:b/>
          <w:sz w:val="24"/>
          <w:szCs w:val="24"/>
          <w:lang w:val="bg-BG"/>
        </w:rPr>
        <w:t xml:space="preserve">„ДОПУСТИМИ РАЗХОДИ“ </w:t>
      </w:r>
      <w:r w:rsidR="00BC5716" w:rsidRPr="001C5954">
        <w:rPr>
          <w:b/>
          <w:sz w:val="24"/>
          <w:szCs w:val="24"/>
          <w:lang w:val="bg-BG"/>
        </w:rPr>
        <w:t xml:space="preserve">НА УСЛОВИЯТА ЗА КАНДИДАТСТВАНЕ ПО </w:t>
      </w:r>
      <w:r w:rsidR="00E0360E" w:rsidRPr="001C5954">
        <w:rPr>
          <w:b/>
          <w:sz w:val="24"/>
          <w:szCs w:val="24"/>
          <w:lang w:val="bg-BG"/>
        </w:rPr>
        <w:t xml:space="preserve">ПРОЦЕДУРА „ПОДКРЕПА ЗА РАЗШИРЯВАНЕ НА КАПАЦИТЕТА ЗА ПРЕДОСТАВЯНЕ НА СЪВЕТНИЧЕСКИ УСЛУГИ“ ПО ИНТЕРВЕНЦИЯ II.И.1 - „КОНСУЛТАНТСКИ УСЛУГИ И ПОВИШАВАНЕ НА КОНСУЛТАНТСКИЯ КАПАЦИТЕТ“ ОТ СПРЗСР 2023 – 2027 </w:t>
      </w:r>
      <w:r w:rsidR="001C5954" w:rsidRPr="001C5954">
        <w:rPr>
          <w:b/>
          <w:sz w:val="24"/>
          <w:szCs w:val="24"/>
          <w:lang w:val="bg-BG"/>
        </w:rPr>
        <w:t>г</w:t>
      </w:r>
      <w:r w:rsidR="00E0360E" w:rsidRPr="001C5954">
        <w:rPr>
          <w:b/>
          <w:sz w:val="24"/>
          <w:szCs w:val="24"/>
          <w:lang w:val="bg-BG"/>
        </w:rPr>
        <w:t xml:space="preserve">.  </w:t>
      </w:r>
    </w:p>
    <w:p w14:paraId="16339FFD" w14:textId="77777777" w:rsidR="00F811D3" w:rsidRPr="00D80FE5" w:rsidRDefault="00F811D3" w:rsidP="005E2578">
      <w:pPr>
        <w:spacing w:before="6"/>
        <w:rPr>
          <w:sz w:val="19"/>
          <w:szCs w:val="19"/>
          <w:lang w:val="bg-BG"/>
        </w:rPr>
      </w:pPr>
    </w:p>
    <w:p w14:paraId="558D646E" w14:textId="77777777" w:rsidR="00F811D3" w:rsidRPr="00D80FE5" w:rsidRDefault="00F811D3" w:rsidP="005E2578">
      <w:pPr>
        <w:rPr>
          <w:lang w:val="bg-BG"/>
        </w:rPr>
      </w:pPr>
    </w:p>
    <w:p w14:paraId="2C52C0A8" w14:textId="77777777"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I.  Цел на документа</w:t>
      </w:r>
    </w:p>
    <w:p w14:paraId="7DB5A7B2" w14:textId="77777777" w:rsidR="00F811D3" w:rsidRPr="00D80FE5" w:rsidRDefault="00F811D3" w:rsidP="005E2578">
      <w:pPr>
        <w:spacing w:before="6"/>
        <w:rPr>
          <w:sz w:val="11"/>
          <w:szCs w:val="11"/>
          <w:lang w:val="bg-BG"/>
        </w:rPr>
      </w:pPr>
    </w:p>
    <w:p w14:paraId="67AEBCC7" w14:textId="14E6141A" w:rsidR="00406D34" w:rsidRDefault="00B529A3" w:rsidP="001C5954">
      <w:pPr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Настоящата </w:t>
      </w:r>
      <w:r w:rsidR="005E2578" w:rsidRPr="00D80FE5">
        <w:rPr>
          <w:sz w:val="24"/>
          <w:szCs w:val="24"/>
          <w:lang w:val="bg-BG"/>
        </w:rPr>
        <w:t>метод</w:t>
      </w:r>
      <w:r w:rsidR="00121C3E" w:rsidRPr="00D80FE5">
        <w:rPr>
          <w:sz w:val="24"/>
          <w:szCs w:val="24"/>
          <w:lang w:val="bg-BG"/>
        </w:rPr>
        <w:t>ика</w:t>
      </w:r>
      <w:r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определя</w:t>
      </w:r>
      <w:r>
        <w:rPr>
          <w:sz w:val="24"/>
          <w:szCs w:val="24"/>
          <w:lang w:val="bg-BG"/>
        </w:rPr>
        <w:t xml:space="preserve"> изискванията за допустимост по</w:t>
      </w:r>
      <w:r w:rsidR="005E2578" w:rsidRPr="00D80FE5">
        <w:rPr>
          <w:sz w:val="24"/>
          <w:szCs w:val="24"/>
          <w:lang w:val="bg-BG"/>
        </w:rPr>
        <w:t xml:space="preserve"> отношение</w:t>
      </w:r>
      <w:r w:rsidR="00121C3E" w:rsidRPr="00D80FE5">
        <w:rPr>
          <w:sz w:val="24"/>
          <w:szCs w:val="24"/>
          <w:lang w:val="bg-BG"/>
        </w:rPr>
        <w:t xml:space="preserve"> определяне на размера и</w:t>
      </w:r>
      <w:r w:rsidR="005E2578" w:rsidRPr="00D80FE5">
        <w:rPr>
          <w:sz w:val="24"/>
          <w:szCs w:val="24"/>
          <w:lang w:val="bg-BG"/>
        </w:rPr>
        <w:t xml:space="preserve"> изплащането</w:t>
      </w:r>
      <w:r w:rsidR="00121C3E" w:rsidRPr="00D80FE5">
        <w:rPr>
          <w:sz w:val="24"/>
          <w:szCs w:val="24"/>
          <w:lang w:val="bg-BG"/>
        </w:rPr>
        <w:t xml:space="preserve"> н</w:t>
      </w:r>
      <w:r>
        <w:rPr>
          <w:sz w:val="24"/>
          <w:szCs w:val="24"/>
          <w:lang w:val="bg-BG"/>
        </w:rPr>
        <w:t>а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средствата за</w:t>
      </w:r>
      <w:r w:rsidR="005E2578" w:rsidRPr="00D80FE5">
        <w:rPr>
          <w:sz w:val="24"/>
          <w:szCs w:val="24"/>
          <w:lang w:val="bg-BG"/>
        </w:rPr>
        <w:t xml:space="preserve"> въз</w:t>
      </w:r>
      <w:r>
        <w:rPr>
          <w:sz w:val="24"/>
          <w:szCs w:val="24"/>
          <w:lang w:val="bg-BG"/>
        </w:rPr>
        <w:t xml:space="preserve">награждения на лицата, наети </w:t>
      </w:r>
      <w:r w:rsidR="001C5954">
        <w:rPr>
          <w:sz w:val="24"/>
          <w:szCs w:val="24"/>
          <w:lang w:val="bg-BG"/>
        </w:rPr>
        <w:t>към</w:t>
      </w:r>
      <w:r w:rsidR="00AC6C1C">
        <w:rPr>
          <w:sz w:val="24"/>
          <w:szCs w:val="24"/>
          <w:lang w:val="bg-BG"/>
        </w:rPr>
        <w:t xml:space="preserve"> </w:t>
      </w:r>
      <w:r w:rsidR="00AC6C1C" w:rsidRPr="00AC6C1C">
        <w:rPr>
          <w:sz w:val="24"/>
          <w:szCs w:val="24"/>
          <w:lang w:val="bg-BG"/>
        </w:rPr>
        <w:t>Мобилните общински центрове за консултантски услуги</w:t>
      </w:r>
      <w:r w:rsidR="007B4334">
        <w:rPr>
          <w:sz w:val="24"/>
          <w:szCs w:val="24"/>
        </w:rPr>
        <w:t xml:space="preserve"> (</w:t>
      </w:r>
      <w:r w:rsidR="007B4334">
        <w:rPr>
          <w:sz w:val="24"/>
          <w:szCs w:val="24"/>
          <w:lang w:val="bg-BG"/>
        </w:rPr>
        <w:t>мобилни офиси</w:t>
      </w:r>
      <w:r w:rsidR="007B4334">
        <w:rPr>
          <w:sz w:val="24"/>
          <w:szCs w:val="24"/>
        </w:rPr>
        <w:t>)</w:t>
      </w:r>
      <w:r w:rsidR="001C5954">
        <w:rPr>
          <w:sz w:val="24"/>
          <w:szCs w:val="24"/>
          <w:lang w:val="bg-BG"/>
        </w:rPr>
        <w:t xml:space="preserve"> на Национална служба за съвети в земеделието</w:t>
      </w:r>
    </w:p>
    <w:p w14:paraId="358D1282" w14:textId="77777777" w:rsidR="00BC5716" w:rsidRPr="00D80FE5" w:rsidRDefault="00BC5716" w:rsidP="005E2578">
      <w:pPr>
        <w:ind w:left="113" w:right="170" w:firstLine="428"/>
        <w:jc w:val="both"/>
        <w:rPr>
          <w:sz w:val="24"/>
          <w:szCs w:val="24"/>
          <w:lang w:val="bg-BG"/>
        </w:rPr>
      </w:pPr>
    </w:p>
    <w:p w14:paraId="000BD481" w14:textId="77777777" w:rsidR="00BC5716" w:rsidRDefault="005E2578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Документът има за цел и:</w:t>
      </w:r>
      <w:r w:rsidR="00BC5716">
        <w:rPr>
          <w:sz w:val="24"/>
          <w:szCs w:val="24"/>
          <w:lang w:val="bg-BG"/>
        </w:rPr>
        <w:tab/>
      </w:r>
    </w:p>
    <w:p w14:paraId="60E41315" w14:textId="77777777"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14:paraId="72A8BFFA" w14:textId="77777777"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</w:t>
      </w:r>
      <w:r w:rsidR="005E2578" w:rsidRPr="005E2578">
        <w:rPr>
          <w:sz w:val="24"/>
          <w:szCs w:val="24"/>
          <w:lang w:val="bg-BG"/>
        </w:rPr>
        <w:t>ста</w:t>
      </w:r>
      <w:r w:rsidR="00B529A3">
        <w:rPr>
          <w:sz w:val="24"/>
          <w:szCs w:val="24"/>
          <w:lang w:val="bg-BG"/>
        </w:rPr>
        <w:t>новяване на допустими за финансиране по</w:t>
      </w:r>
      <w:r w:rsidR="005E2578" w:rsidRPr="005E2578">
        <w:rPr>
          <w:sz w:val="24"/>
          <w:szCs w:val="24"/>
          <w:lang w:val="bg-BG"/>
        </w:rPr>
        <w:t xml:space="preserve"> </w:t>
      </w:r>
      <w:r w:rsidR="00121C3E" w:rsidRPr="005E2578">
        <w:rPr>
          <w:sz w:val="24"/>
          <w:szCs w:val="24"/>
          <w:lang w:val="bg-BG"/>
        </w:rPr>
        <w:t>процедур</w:t>
      </w:r>
      <w:r w:rsidR="002A2D26">
        <w:rPr>
          <w:sz w:val="24"/>
          <w:szCs w:val="24"/>
          <w:lang w:val="bg-BG"/>
        </w:rPr>
        <w:t>а</w:t>
      </w:r>
      <w:r w:rsidR="00121C3E" w:rsidRPr="005E2578">
        <w:rPr>
          <w:sz w:val="24"/>
          <w:szCs w:val="24"/>
          <w:lang w:val="bg-BG"/>
        </w:rPr>
        <w:t>та</w:t>
      </w:r>
      <w:r w:rsidR="00B529A3">
        <w:rPr>
          <w:sz w:val="24"/>
          <w:szCs w:val="24"/>
          <w:lang w:val="bg-BG"/>
        </w:rPr>
        <w:t xml:space="preserve"> размери </w:t>
      </w:r>
      <w:r w:rsidR="005E2578" w:rsidRPr="005E2578">
        <w:rPr>
          <w:sz w:val="24"/>
          <w:szCs w:val="24"/>
          <w:lang w:val="bg-BG"/>
        </w:rPr>
        <w:t xml:space="preserve">на възнагражденията на </w:t>
      </w:r>
      <w:r w:rsidR="00121C3E" w:rsidRPr="005E2578">
        <w:rPr>
          <w:sz w:val="24"/>
          <w:szCs w:val="24"/>
          <w:lang w:val="bg-BG"/>
        </w:rPr>
        <w:t xml:space="preserve">наетите </w:t>
      </w:r>
      <w:r w:rsidR="005E2578" w:rsidRPr="005E2578">
        <w:rPr>
          <w:sz w:val="24"/>
          <w:szCs w:val="24"/>
          <w:lang w:val="bg-BG"/>
        </w:rPr>
        <w:t>лица, чрез ясни насоки и изисквания за тяхното определяне</w:t>
      </w:r>
      <w:r w:rsidR="00121C3E" w:rsidRPr="005E2578">
        <w:rPr>
          <w:sz w:val="24"/>
          <w:szCs w:val="24"/>
          <w:lang w:val="bg-BG"/>
        </w:rPr>
        <w:t xml:space="preserve"> и</w:t>
      </w:r>
      <w:r w:rsidR="005E2578" w:rsidRPr="005E2578">
        <w:rPr>
          <w:sz w:val="24"/>
          <w:szCs w:val="24"/>
          <w:lang w:val="bg-BG"/>
        </w:rPr>
        <w:t xml:space="preserve"> изплащане;</w:t>
      </w:r>
    </w:p>
    <w:p w14:paraId="4ED9CC03" w14:textId="3AE18D3D" w:rsidR="00BC5716" w:rsidRPr="005E2578" w:rsidRDefault="00EE64A3" w:rsidP="001C5954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B529A3">
        <w:rPr>
          <w:sz w:val="24"/>
          <w:szCs w:val="24"/>
          <w:lang w:val="bg-BG"/>
        </w:rPr>
        <w:t xml:space="preserve">остигане на увереност от страна на </w:t>
      </w:r>
      <w:r w:rsidR="005E2578" w:rsidRPr="005E2578">
        <w:rPr>
          <w:sz w:val="24"/>
          <w:szCs w:val="24"/>
          <w:lang w:val="bg-BG"/>
        </w:rPr>
        <w:t>Управляващия</w:t>
      </w:r>
      <w:r w:rsidR="00B529A3">
        <w:rPr>
          <w:sz w:val="24"/>
          <w:szCs w:val="24"/>
          <w:lang w:val="bg-BG"/>
        </w:rPr>
        <w:t xml:space="preserve">  орган</w:t>
      </w:r>
      <w:r w:rsidR="004C0FA9">
        <w:rPr>
          <w:sz w:val="24"/>
          <w:szCs w:val="24"/>
          <w:lang w:val="bg-BG"/>
        </w:rPr>
        <w:t xml:space="preserve"> на </w:t>
      </w:r>
      <w:r w:rsidR="001C5954">
        <w:rPr>
          <w:sz w:val="24"/>
          <w:szCs w:val="24"/>
          <w:lang w:val="bg-BG"/>
        </w:rPr>
        <w:t>СПРЗСР 2023-2027</w:t>
      </w:r>
      <w:r w:rsidR="004C0FA9">
        <w:rPr>
          <w:sz w:val="24"/>
          <w:szCs w:val="24"/>
          <w:lang w:val="bg-BG"/>
        </w:rPr>
        <w:t xml:space="preserve">, </w:t>
      </w:r>
      <w:r w:rsidR="00B529A3">
        <w:rPr>
          <w:sz w:val="24"/>
          <w:szCs w:val="24"/>
          <w:lang w:val="bg-BG"/>
        </w:rPr>
        <w:t xml:space="preserve">Държавен Фонд „Земеделие“, Сертифициращия орган, националните и европейските контролни и одитиращи органи за спазване на принципа на доброто финансово управление на </w:t>
      </w:r>
      <w:r w:rsidR="00B529A3" w:rsidRPr="00B529A3">
        <w:rPr>
          <w:sz w:val="24"/>
          <w:szCs w:val="24"/>
          <w:lang w:val="bg-BG"/>
        </w:rPr>
        <w:t xml:space="preserve">средствата за възнаграждения, изплащани в </w:t>
      </w:r>
      <w:r w:rsidR="00B529A3" w:rsidRPr="00C47D71">
        <w:rPr>
          <w:sz w:val="24"/>
          <w:szCs w:val="24"/>
          <w:lang w:val="bg-BG"/>
        </w:rPr>
        <w:t>рамките</w:t>
      </w:r>
      <w:r w:rsidR="005E2578" w:rsidRPr="00C47D71">
        <w:rPr>
          <w:sz w:val="24"/>
          <w:szCs w:val="24"/>
          <w:lang w:val="bg-BG"/>
        </w:rPr>
        <w:t xml:space="preserve"> на проектите, финансирани по</w:t>
      </w:r>
      <w:r w:rsidR="00B529A3" w:rsidRPr="00C47D71">
        <w:rPr>
          <w:sz w:val="24"/>
          <w:szCs w:val="24"/>
          <w:lang w:val="bg-BG"/>
        </w:rPr>
        <w:t xml:space="preserve"> </w:t>
      </w:r>
      <w:r w:rsidR="001C5954">
        <w:rPr>
          <w:sz w:val="24"/>
          <w:szCs w:val="24"/>
          <w:lang w:val="bg-BG"/>
        </w:rPr>
        <w:t>процедура „П</w:t>
      </w:r>
      <w:r w:rsidR="001C5954" w:rsidRPr="001C5954">
        <w:rPr>
          <w:sz w:val="24"/>
          <w:szCs w:val="24"/>
          <w:lang w:val="bg-BG"/>
        </w:rPr>
        <w:t>одкрепа за разширяване на капацитета за предоставяне на съветнически услуги“ по интервенция II.И.1 - „</w:t>
      </w:r>
      <w:r w:rsidR="001C5954">
        <w:rPr>
          <w:sz w:val="24"/>
          <w:szCs w:val="24"/>
          <w:lang w:val="bg-BG"/>
        </w:rPr>
        <w:t>К</w:t>
      </w:r>
      <w:r w:rsidR="001C5954" w:rsidRPr="001C5954">
        <w:rPr>
          <w:sz w:val="24"/>
          <w:szCs w:val="24"/>
          <w:lang w:val="bg-BG"/>
        </w:rPr>
        <w:t xml:space="preserve">онсултантски услуги и повишаване на консултантския капацитет“ от СПРЗСР 2023 – 2027 г.  </w:t>
      </w:r>
    </w:p>
    <w:p w14:paraId="1474620A" w14:textId="77777777"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14:paraId="4FE1D008" w14:textId="77777777" w:rsidR="00BC5716" w:rsidRDefault="00B529A3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ІІ. Регламентиране, планиране и отчитане на възнагражденията на лицата</w:t>
      </w:r>
      <w:r w:rsidR="00D85289">
        <w:rPr>
          <w:b/>
          <w:sz w:val="24"/>
          <w:szCs w:val="24"/>
          <w:lang w:val="bg-BG"/>
        </w:rPr>
        <w:t xml:space="preserve"> (съветниците)</w:t>
      </w:r>
      <w:r>
        <w:rPr>
          <w:b/>
          <w:sz w:val="24"/>
          <w:szCs w:val="24"/>
          <w:lang w:val="bg-BG"/>
        </w:rPr>
        <w:t xml:space="preserve">, </w:t>
      </w:r>
      <w:r w:rsidR="005E2578" w:rsidRPr="00D80FE5">
        <w:rPr>
          <w:b/>
          <w:sz w:val="24"/>
          <w:szCs w:val="24"/>
          <w:lang w:val="bg-BG"/>
        </w:rPr>
        <w:t>наети в</w:t>
      </w:r>
      <w:r w:rsidR="00AC6C1C">
        <w:rPr>
          <w:b/>
          <w:sz w:val="24"/>
          <w:szCs w:val="24"/>
          <w:lang w:val="bg-BG"/>
        </w:rPr>
        <w:t xml:space="preserve"> </w:t>
      </w:r>
      <w:r w:rsidR="00D85289">
        <w:rPr>
          <w:b/>
          <w:sz w:val="24"/>
          <w:szCs w:val="24"/>
          <w:lang w:val="bg-BG"/>
        </w:rPr>
        <w:t>мобилните офиси.</w:t>
      </w:r>
      <w:r w:rsidR="00AC6C1C" w:rsidRPr="00AC6C1C">
        <w:rPr>
          <w:b/>
          <w:sz w:val="24"/>
          <w:szCs w:val="24"/>
          <w:lang w:val="bg-BG"/>
        </w:rPr>
        <w:t xml:space="preserve"> </w:t>
      </w:r>
    </w:p>
    <w:p w14:paraId="24F697CD" w14:textId="77777777" w:rsidR="00BC5716" w:rsidRDefault="00BC5716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</w:p>
    <w:p w14:paraId="232A6599" w14:textId="77777777" w:rsidR="00F811D3" w:rsidRPr="00D80FE5" w:rsidRDefault="00B529A3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 спазване на разпоредбите на националното законодателство, за целите на</w:t>
      </w:r>
      <w:r w:rsidR="005E2578" w:rsidRPr="00D80FE5"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процедурата</w:t>
      </w:r>
      <w:r w:rsidR="005E2578" w:rsidRPr="00D80FE5">
        <w:rPr>
          <w:sz w:val="24"/>
          <w:szCs w:val="24"/>
          <w:lang w:val="bg-BG"/>
        </w:rPr>
        <w:t>, наемането на лица  се осъществява в съответствие с действащото законодателство, както следва:</w:t>
      </w:r>
    </w:p>
    <w:p w14:paraId="2C88550E" w14:textId="77777777" w:rsidR="00F811D3" w:rsidRPr="00D80FE5" w:rsidRDefault="00F811D3" w:rsidP="005E2578">
      <w:pPr>
        <w:rPr>
          <w:sz w:val="12"/>
          <w:szCs w:val="12"/>
          <w:lang w:val="bg-BG"/>
        </w:rPr>
      </w:pPr>
    </w:p>
    <w:p w14:paraId="0533D5F4" w14:textId="77777777" w:rsidR="00F811D3" w:rsidRPr="00D80FE5" w:rsidRDefault="005E2578" w:rsidP="005E2578">
      <w:pPr>
        <w:ind w:right="1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1.  Трудов договор: </w:t>
      </w:r>
      <w:r w:rsidRPr="00D80FE5">
        <w:rPr>
          <w:sz w:val="24"/>
          <w:szCs w:val="24"/>
          <w:lang w:val="bg-BG"/>
        </w:rPr>
        <w:t xml:space="preserve">Предмет на трудовото правоотношение е предоставянето на работна сила. Договорът се сключва в </w:t>
      </w:r>
      <w:r w:rsidRPr="004C0FA9">
        <w:rPr>
          <w:sz w:val="24"/>
          <w:szCs w:val="24"/>
          <w:lang w:val="bg-BG"/>
        </w:rPr>
        <w:t>писмена форма</w:t>
      </w:r>
      <w:r w:rsidRPr="00A67174">
        <w:rPr>
          <w:sz w:val="24"/>
          <w:szCs w:val="24"/>
          <w:lang w:val="bg-BG"/>
        </w:rPr>
        <w:t>,</w:t>
      </w:r>
      <w:r w:rsidRPr="00D80FE5">
        <w:rPr>
          <w:b/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в съответствие с разпоредбите на Кодекса на труда. Работното мяс</w:t>
      </w:r>
      <w:r w:rsidR="00B529A3">
        <w:rPr>
          <w:sz w:val="24"/>
          <w:szCs w:val="24"/>
          <w:lang w:val="bg-BG"/>
        </w:rPr>
        <w:t>то, начина на изпълнение и</w:t>
      </w:r>
      <w:r w:rsidRPr="00D80FE5">
        <w:rPr>
          <w:sz w:val="24"/>
          <w:szCs w:val="24"/>
          <w:lang w:val="bg-BG"/>
        </w:rPr>
        <w:t xml:space="preserve"> работното време се определят от работодателя.</w:t>
      </w:r>
    </w:p>
    <w:p w14:paraId="30A39947" w14:textId="77777777"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14:paraId="0F3C1602" w14:textId="21293BB1" w:rsidR="00F811D3" w:rsidRPr="004C0FA9" w:rsidRDefault="005E2578" w:rsidP="005E2578">
      <w:pPr>
        <w:ind w:right="1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следва да се вземе предвид, че размерът на възнаграждението по трудов договор се планира, изхождайки от </w:t>
      </w:r>
      <w:r w:rsidRPr="004C0FA9">
        <w:rPr>
          <w:sz w:val="24"/>
          <w:szCs w:val="24"/>
          <w:lang w:val="bg-BG"/>
        </w:rPr>
        <w:t>съответната ставка</w:t>
      </w:r>
      <w:r w:rsidRPr="004C0FA9">
        <w:rPr>
          <w:position w:val="8"/>
          <w:sz w:val="16"/>
          <w:szCs w:val="16"/>
          <w:lang w:val="bg-BG"/>
        </w:rPr>
        <w:t xml:space="preserve"> </w:t>
      </w:r>
      <w:r w:rsidRPr="004C0FA9">
        <w:rPr>
          <w:sz w:val="24"/>
          <w:szCs w:val="24"/>
          <w:lang w:val="bg-BG"/>
        </w:rPr>
        <w:t>за съответното лице или брой лица.</w:t>
      </w:r>
    </w:p>
    <w:p w14:paraId="0F24FCB5" w14:textId="77777777" w:rsidR="00164AA7" w:rsidRPr="00406D34" w:rsidRDefault="00164AA7" w:rsidP="00406D34">
      <w:pPr>
        <w:ind w:right="66"/>
        <w:jc w:val="both"/>
        <w:rPr>
          <w:sz w:val="24"/>
          <w:szCs w:val="24"/>
          <w:lang w:val="bg-BG"/>
        </w:rPr>
      </w:pPr>
    </w:p>
    <w:p w14:paraId="18FF6527" w14:textId="6D63FFF8"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 допълнение към гореизброените документи, при  предявяването за </w:t>
      </w:r>
      <w:r w:rsidR="00EE64A3">
        <w:rPr>
          <w:sz w:val="24"/>
          <w:szCs w:val="24"/>
          <w:lang w:val="bg-BG"/>
        </w:rPr>
        <w:t>изплащане</w:t>
      </w:r>
      <w:r w:rsidRPr="00D80FE5">
        <w:rPr>
          <w:sz w:val="24"/>
          <w:szCs w:val="24"/>
          <w:lang w:val="bg-BG"/>
        </w:rPr>
        <w:t xml:space="preserve"> на разходите   за   възнаграждения,   бенефици</w:t>
      </w:r>
      <w:r w:rsidR="00A67174">
        <w:rPr>
          <w:sz w:val="24"/>
          <w:szCs w:val="24"/>
          <w:lang w:val="bg-BG"/>
        </w:rPr>
        <w:t xml:space="preserve">ентът  следва  да   представи </w:t>
      </w:r>
      <w:r w:rsidRPr="00D80FE5">
        <w:rPr>
          <w:sz w:val="24"/>
          <w:szCs w:val="24"/>
          <w:lang w:val="bg-BG"/>
        </w:rPr>
        <w:t xml:space="preserve">и: извлечение  от  ведомости  за  </w:t>
      </w:r>
      <w:r w:rsidRPr="00D80FE5">
        <w:rPr>
          <w:sz w:val="24"/>
          <w:szCs w:val="24"/>
          <w:lang w:val="bg-BG"/>
        </w:rPr>
        <w:lastRenderedPageBreak/>
        <w:t>изплатени  суми  с  подпис  на  лицето</w:t>
      </w:r>
      <w:r w:rsidR="00DB5E7C">
        <w:rPr>
          <w:sz w:val="24"/>
          <w:szCs w:val="24"/>
          <w:lang w:val="bg-BG"/>
        </w:rPr>
        <w:t>,</w:t>
      </w:r>
      <w:r w:rsidR="00686452">
        <w:rPr>
          <w:sz w:val="24"/>
          <w:szCs w:val="24"/>
          <w:lang w:val="en-GB"/>
        </w:rPr>
        <w:t xml:space="preserve"> </w:t>
      </w:r>
      <w:r w:rsidR="00686452">
        <w:rPr>
          <w:sz w:val="24"/>
          <w:szCs w:val="24"/>
          <w:lang w:val="bg-BG"/>
        </w:rPr>
        <w:t>получило възнаграждението,</w:t>
      </w:r>
      <w:r w:rsidRPr="00D80FE5">
        <w:rPr>
          <w:sz w:val="24"/>
          <w:szCs w:val="24"/>
          <w:lang w:val="bg-BG"/>
        </w:rPr>
        <w:t xml:space="preserve"> банкови извлечения за индивидуални плащания при превод по банкова сметка  /в случаите на масови плащания, банковите извлечения следва да бъдат придружени с подробен списък/;  банкови  извлечения  за  внесени  </w:t>
      </w:r>
      <w:r w:rsidR="00686452">
        <w:rPr>
          <w:sz w:val="24"/>
          <w:szCs w:val="24"/>
          <w:lang w:val="bg-BG"/>
        </w:rPr>
        <w:t>осигуровки</w:t>
      </w:r>
      <w:r w:rsidR="00686452">
        <w:rPr>
          <w:sz w:val="24"/>
          <w:szCs w:val="24"/>
          <w:lang w:val="en-GB"/>
        </w:rPr>
        <w:t xml:space="preserve"> </w:t>
      </w:r>
      <w:r w:rsidRPr="00D80FE5">
        <w:rPr>
          <w:sz w:val="24"/>
          <w:szCs w:val="24"/>
          <w:lang w:val="bg-BG"/>
        </w:rPr>
        <w:t>и др.</w:t>
      </w:r>
    </w:p>
    <w:p w14:paraId="18D841E4" w14:textId="77777777" w:rsidR="00F811D3" w:rsidRPr="00D80FE5" w:rsidRDefault="00F811D3" w:rsidP="005E2578">
      <w:pPr>
        <w:rPr>
          <w:sz w:val="12"/>
          <w:szCs w:val="12"/>
          <w:lang w:val="bg-BG"/>
        </w:rPr>
      </w:pPr>
    </w:p>
    <w:p w14:paraId="3B648E90" w14:textId="77777777" w:rsidR="00F811D3" w:rsidRPr="00D80FE5" w:rsidRDefault="00F811D3" w:rsidP="005E2578">
      <w:pPr>
        <w:spacing w:before="1"/>
        <w:rPr>
          <w:lang w:val="bg-BG"/>
        </w:rPr>
      </w:pPr>
    </w:p>
    <w:p w14:paraId="1BBDEFC6" w14:textId="4E9624BA"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ІІІ. Механизъм за определяне на допустим размер на </w:t>
      </w:r>
      <w:r w:rsidR="007D222E">
        <w:rPr>
          <w:b/>
          <w:sz w:val="24"/>
          <w:szCs w:val="24"/>
          <w:lang w:val="bg-BG"/>
        </w:rPr>
        <w:t xml:space="preserve">разходи за </w:t>
      </w:r>
      <w:r w:rsidRPr="00D80FE5">
        <w:rPr>
          <w:b/>
          <w:sz w:val="24"/>
          <w:szCs w:val="24"/>
          <w:lang w:val="bg-BG"/>
        </w:rPr>
        <w:t>възнаграждени</w:t>
      </w:r>
      <w:r w:rsidR="007D222E">
        <w:rPr>
          <w:b/>
          <w:sz w:val="24"/>
          <w:szCs w:val="24"/>
          <w:lang w:val="bg-BG"/>
        </w:rPr>
        <w:t>я</w:t>
      </w:r>
      <w:r w:rsidRPr="00D80FE5">
        <w:rPr>
          <w:b/>
          <w:sz w:val="24"/>
          <w:szCs w:val="24"/>
          <w:lang w:val="bg-BG"/>
        </w:rPr>
        <w:t xml:space="preserve"> на </w:t>
      </w:r>
      <w:r w:rsidR="009E528D">
        <w:rPr>
          <w:b/>
          <w:sz w:val="24"/>
          <w:szCs w:val="24"/>
          <w:lang w:val="bg-BG"/>
        </w:rPr>
        <w:t>съветниците</w:t>
      </w:r>
      <w:r w:rsidRPr="00D80FE5">
        <w:rPr>
          <w:b/>
          <w:sz w:val="24"/>
          <w:szCs w:val="24"/>
          <w:lang w:val="bg-BG"/>
        </w:rPr>
        <w:t>, наети във връзка с изпълнението на проектите</w:t>
      </w:r>
    </w:p>
    <w:p w14:paraId="60A44104" w14:textId="77777777"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14:paraId="185F183D" w14:textId="77777777" w:rsidR="00F811D3" w:rsidRPr="00D80FE5" w:rsidRDefault="00F811D3" w:rsidP="005E2578">
      <w:pPr>
        <w:spacing w:before="5"/>
        <w:rPr>
          <w:sz w:val="12"/>
          <w:szCs w:val="12"/>
          <w:lang w:val="bg-BG"/>
        </w:rPr>
      </w:pPr>
    </w:p>
    <w:p w14:paraId="13319136" w14:textId="5145D24A" w:rsidR="00B529A3" w:rsidRPr="00EE64A3" w:rsidRDefault="005232C0" w:rsidP="005E2578">
      <w:pPr>
        <w:ind w:right="67"/>
        <w:jc w:val="both"/>
        <w:rPr>
          <w:b/>
          <w:sz w:val="24"/>
          <w:szCs w:val="24"/>
          <w:lang w:val="bg-BG"/>
        </w:rPr>
      </w:pPr>
      <w:r w:rsidRPr="00EE64A3">
        <w:rPr>
          <w:b/>
          <w:sz w:val="24"/>
          <w:szCs w:val="24"/>
          <w:lang w:val="bg-BG"/>
        </w:rPr>
        <w:t xml:space="preserve">1. </w:t>
      </w:r>
      <w:r w:rsidR="00B529A3" w:rsidRPr="00EE64A3">
        <w:rPr>
          <w:b/>
          <w:sz w:val="24"/>
          <w:szCs w:val="24"/>
          <w:lang w:val="bg-BG"/>
        </w:rPr>
        <w:t>Механизъм за определяне на максимални</w:t>
      </w:r>
      <w:r w:rsidR="008C25EA">
        <w:rPr>
          <w:b/>
          <w:sz w:val="24"/>
          <w:szCs w:val="24"/>
          <w:lang w:val="bg-BG"/>
        </w:rPr>
        <w:t xml:space="preserve">я размер на </w:t>
      </w:r>
      <w:r w:rsidR="00B529A3" w:rsidRPr="00EE64A3">
        <w:rPr>
          <w:b/>
          <w:sz w:val="24"/>
          <w:szCs w:val="24"/>
          <w:lang w:val="bg-BG"/>
        </w:rPr>
        <w:t xml:space="preserve"> </w:t>
      </w:r>
      <w:r w:rsidR="0004714D">
        <w:rPr>
          <w:b/>
          <w:sz w:val="24"/>
          <w:szCs w:val="24"/>
          <w:lang w:val="bg-BG"/>
        </w:rPr>
        <w:t xml:space="preserve">брутната </w:t>
      </w:r>
      <w:r w:rsidR="008C25EA" w:rsidRPr="008C25EA">
        <w:rPr>
          <w:b/>
          <w:sz w:val="24"/>
          <w:szCs w:val="24"/>
          <w:lang w:val="bg-BG"/>
        </w:rPr>
        <w:t>работна заплата</w:t>
      </w:r>
      <w:r w:rsidR="0004714D">
        <w:rPr>
          <w:b/>
          <w:sz w:val="24"/>
          <w:szCs w:val="24"/>
          <w:lang w:val="bg-BG"/>
        </w:rPr>
        <w:t xml:space="preserve"> за едно лице</w:t>
      </w:r>
    </w:p>
    <w:p w14:paraId="6F9C8F2B" w14:textId="77777777" w:rsidR="00B529A3" w:rsidRDefault="00B529A3" w:rsidP="005E2578">
      <w:pPr>
        <w:ind w:right="67"/>
        <w:jc w:val="both"/>
        <w:rPr>
          <w:sz w:val="24"/>
          <w:szCs w:val="24"/>
          <w:highlight w:val="yellow"/>
          <w:lang w:val="bg-BG"/>
        </w:rPr>
      </w:pPr>
    </w:p>
    <w:p w14:paraId="642D5A8E" w14:textId="71B97296" w:rsidR="004B509D" w:rsidRDefault="004B509D" w:rsidP="007F3A86">
      <w:pPr>
        <w:ind w:right="67" w:firstLine="708"/>
        <w:jc w:val="both"/>
        <w:rPr>
          <w:sz w:val="24"/>
          <w:szCs w:val="24"/>
          <w:lang w:val="bg-BG"/>
        </w:rPr>
      </w:pPr>
      <w:r w:rsidRPr="004B509D">
        <w:rPr>
          <w:sz w:val="24"/>
          <w:szCs w:val="24"/>
          <w:lang w:val="bg-BG"/>
        </w:rPr>
        <w:t xml:space="preserve">Разходите за възнаграждения на </w:t>
      </w:r>
      <w:r w:rsidR="00D85289">
        <w:rPr>
          <w:sz w:val="24"/>
          <w:szCs w:val="24"/>
          <w:lang w:val="bg-BG"/>
        </w:rPr>
        <w:t>съветниците</w:t>
      </w:r>
      <w:r w:rsidRPr="004B509D">
        <w:rPr>
          <w:sz w:val="24"/>
          <w:szCs w:val="24"/>
          <w:lang w:val="bg-BG"/>
        </w:rPr>
        <w:t xml:space="preserve"> в </w:t>
      </w:r>
      <w:r w:rsidR="00D85289">
        <w:rPr>
          <w:sz w:val="24"/>
          <w:szCs w:val="24"/>
          <w:lang w:val="bg-BG"/>
        </w:rPr>
        <w:t>мобилните офиси</w:t>
      </w:r>
      <w:r w:rsidR="00DE105C">
        <w:rPr>
          <w:sz w:val="24"/>
          <w:szCs w:val="24"/>
          <w:lang w:val="bg-BG"/>
        </w:rPr>
        <w:t xml:space="preserve"> и координаторите на централно и регионално ниво</w:t>
      </w:r>
      <w:r w:rsidRPr="004B509D">
        <w:rPr>
          <w:sz w:val="24"/>
          <w:szCs w:val="24"/>
          <w:lang w:val="bg-BG"/>
        </w:rPr>
        <w:t xml:space="preserve"> са допустими за персонал, нает от НССЗ при спазване на условията за наемане</w:t>
      </w:r>
      <w:r w:rsidR="00D85289">
        <w:rPr>
          <w:sz w:val="24"/>
          <w:szCs w:val="24"/>
          <w:lang w:val="bg-BG"/>
        </w:rPr>
        <w:t>,</w:t>
      </w:r>
      <w:r w:rsidRPr="004B509D">
        <w:rPr>
          <w:sz w:val="24"/>
          <w:szCs w:val="24"/>
          <w:lang w:val="bg-BG"/>
        </w:rPr>
        <w:t xml:space="preserve"> посочени в раздел 1</w:t>
      </w:r>
      <w:r w:rsidR="001C5954">
        <w:rPr>
          <w:sz w:val="24"/>
          <w:szCs w:val="24"/>
          <w:lang w:val="bg-BG"/>
        </w:rPr>
        <w:t xml:space="preserve">0 </w:t>
      </w:r>
      <w:r w:rsidR="001C4D73">
        <w:rPr>
          <w:sz w:val="24"/>
          <w:szCs w:val="24"/>
          <w:lang w:val="bg-BG"/>
        </w:rPr>
        <w:t>„Условия за допустимост на дейностите“</w:t>
      </w:r>
      <w:r w:rsidRPr="004B509D">
        <w:rPr>
          <w:sz w:val="24"/>
          <w:szCs w:val="24"/>
          <w:lang w:val="bg-BG"/>
        </w:rPr>
        <w:t xml:space="preserve"> на </w:t>
      </w:r>
      <w:r w:rsidR="007B0722">
        <w:rPr>
          <w:sz w:val="24"/>
          <w:szCs w:val="24"/>
          <w:lang w:val="bg-BG"/>
        </w:rPr>
        <w:t>У</w:t>
      </w:r>
      <w:r w:rsidRPr="004B509D">
        <w:rPr>
          <w:sz w:val="24"/>
          <w:szCs w:val="24"/>
          <w:lang w:val="bg-BG"/>
        </w:rPr>
        <w:t>словия за кандидатстване</w:t>
      </w:r>
      <w:r w:rsidR="007B0722">
        <w:rPr>
          <w:sz w:val="24"/>
          <w:szCs w:val="24"/>
          <w:lang w:val="bg-BG"/>
        </w:rPr>
        <w:t xml:space="preserve"> по </w:t>
      </w:r>
      <w:r w:rsidR="001C5954" w:rsidRPr="001C5954">
        <w:rPr>
          <w:sz w:val="24"/>
          <w:szCs w:val="24"/>
          <w:lang w:val="bg-BG"/>
        </w:rPr>
        <w:t>процедура „Подкрепа за разширяване на капацитета за предоставяне на съветнически услуги“ по интервенция II.И.1 - „Консултантски услуги и повишаване на консултантския капацитет“ от СПРЗСР 2023 – 2027 г</w:t>
      </w:r>
      <w:r w:rsidR="001C5954">
        <w:rPr>
          <w:sz w:val="24"/>
          <w:szCs w:val="24"/>
          <w:lang w:val="bg-BG"/>
        </w:rPr>
        <w:t>.</w:t>
      </w:r>
      <w:r w:rsidRPr="001C4D73">
        <w:rPr>
          <w:sz w:val="24"/>
          <w:szCs w:val="24"/>
          <w:lang w:val="bg-BG"/>
        </w:rPr>
        <w:t>,</w:t>
      </w:r>
      <w:r w:rsidRPr="004B509D">
        <w:rPr>
          <w:sz w:val="24"/>
          <w:szCs w:val="24"/>
          <w:lang w:val="bg-BG"/>
        </w:rPr>
        <w:t xml:space="preserve"> единствено за целите на проекта, на трудов договор за минимум 4 работни часа на ден и включват </w:t>
      </w:r>
      <w:r w:rsidR="00DD1CE0">
        <w:rPr>
          <w:sz w:val="24"/>
          <w:szCs w:val="24"/>
          <w:lang w:val="bg-BG"/>
        </w:rPr>
        <w:t>основна</w:t>
      </w:r>
      <w:r w:rsidR="00DD1CE0" w:rsidRPr="004B509D">
        <w:rPr>
          <w:sz w:val="24"/>
          <w:szCs w:val="24"/>
          <w:lang w:val="bg-BG"/>
        </w:rPr>
        <w:t xml:space="preserve"> </w:t>
      </w:r>
      <w:r w:rsidRPr="004B509D">
        <w:rPr>
          <w:sz w:val="24"/>
          <w:szCs w:val="24"/>
          <w:lang w:val="bg-BG"/>
        </w:rPr>
        <w:t xml:space="preserve">работна заплата, допълнителни възнаграждения за придобит трудов стаж и професионален опит, здравни и осигурителни вноски за сметка на работодателя, </w:t>
      </w:r>
      <w:r w:rsidR="00686452">
        <w:rPr>
          <w:sz w:val="24"/>
          <w:szCs w:val="24"/>
          <w:lang w:val="bg-BG"/>
        </w:rPr>
        <w:t>обезщетения при временна нетрудоспособност</w:t>
      </w:r>
      <w:r w:rsidRPr="004B509D">
        <w:rPr>
          <w:sz w:val="24"/>
          <w:szCs w:val="24"/>
          <w:lang w:val="bg-BG"/>
        </w:rPr>
        <w:t>, определени в съответствие с националното законодателство.</w:t>
      </w:r>
    </w:p>
    <w:p w14:paraId="3AF7F631" w14:textId="3D9C115A" w:rsidR="004B509D" w:rsidRPr="004B509D" w:rsidRDefault="004B509D" w:rsidP="007F3A86">
      <w:pPr>
        <w:ind w:right="67" w:firstLine="708"/>
        <w:jc w:val="both"/>
        <w:rPr>
          <w:sz w:val="24"/>
          <w:szCs w:val="24"/>
          <w:lang w:val="bg-BG"/>
        </w:rPr>
      </w:pPr>
      <w:r w:rsidRPr="004B509D">
        <w:rPr>
          <w:sz w:val="24"/>
          <w:szCs w:val="24"/>
          <w:lang w:val="bg-BG"/>
        </w:rPr>
        <w:t xml:space="preserve">Максималният размер на </w:t>
      </w:r>
      <w:r w:rsidR="00CB0F72">
        <w:rPr>
          <w:sz w:val="24"/>
          <w:szCs w:val="24"/>
          <w:lang w:val="bg-BG"/>
        </w:rPr>
        <w:t xml:space="preserve">брутните </w:t>
      </w:r>
      <w:r w:rsidRPr="004B509D">
        <w:rPr>
          <w:sz w:val="24"/>
          <w:szCs w:val="24"/>
          <w:lang w:val="bg-BG"/>
        </w:rPr>
        <w:t xml:space="preserve">работни </w:t>
      </w:r>
      <w:r w:rsidRPr="001C4D73">
        <w:rPr>
          <w:sz w:val="24"/>
          <w:szCs w:val="24"/>
          <w:lang w:val="bg-BG"/>
        </w:rPr>
        <w:t>заплати по т</w:t>
      </w:r>
      <w:r w:rsidR="001C4D73" w:rsidRPr="001C4D73">
        <w:rPr>
          <w:sz w:val="24"/>
          <w:szCs w:val="24"/>
          <w:lang w:val="bg-BG"/>
        </w:rPr>
        <w:t xml:space="preserve">. </w:t>
      </w:r>
      <w:r w:rsidR="001C5954">
        <w:rPr>
          <w:sz w:val="24"/>
          <w:szCs w:val="24"/>
          <w:lang w:val="bg-BG"/>
        </w:rPr>
        <w:t>3</w:t>
      </w:r>
      <w:r w:rsidRPr="001C4D73">
        <w:rPr>
          <w:sz w:val="24"/>
          <w:szCs w:val="24"/>
          <w:lang w:val="bg-BG"/>
        </w:rPr>
        <w:t xml:space="preserve"> </w:t>
      </w:r>
      <w:r w:rsidR="002A2D26" w:rsidRPr="001C4D73">
        <w:rPr>
          <w:sz w:val="24"/>
          <w:szCs w:val="24"/>
          <w:lang w:val="bg-BG"/>
        </w:rPr>
        <w:t>от</w:t>
      </w:r>
      <w:r w:rsidR="002A2D26">
        <w:rPr>
          <w:sz w:val="24"/>
          <w:szCs w:val="24"/>
          <w:lang w:val="bg-BG"/>
        </w:rPr>
        <w:t xml:space="preserve"> раздел </w:t>
      </w:r>
      <w:r w:rsidR="000C2D33">
        <w:rPr>
          <w:sz w:val="24"/>
          <w:szCs w:val="24"/>
          <w:lang w:val="bg-BG"/>
        </w:rPr>
        <w:t>1</w:t>
      </w:r>
      <w:r w:rsidR="001C5954">
        <w:rPr>
          <w:sz w:val="24"/>
          <w:szCs w:val="24"/>
          <w:lang w:val="bg-BG"/>
        </w:rPr>
        <w:t xml:space="preserve">2 </w:t>
      </w:r>
      <w:r w:rsidR="001C4D73">
        <w:rPr>
          <w:sz w:val="24"/>
          <w:szCs w:val="24"/>
          <w:lang w:val="bg-BG"/>
        </w:rPr>
        <w:t>„Допустими разходи“</w:t>
      </w:r>
      <w:r w:rsidR="00CB0F72">
        <w:rPr>
          <w:sz w:val="24"/>
          <w:szCs w:val="24"/>
          <w:lang w:val="bg-BG"/>
        </w:rPr>
        <w:t>, за лицата</w:t>
      </w:r>
      <w:r w:rsidR="000C2D33">
        <w:rPr>
          <w:sz w:val="24"/>
          <w:szCs w:val="24"/>
          <w:lang w:val="bg-BG"/>
        </w:rPr>
        <w:t xml:space="preserve"> </w:t>
      </w:r>
      <w:r w:rsidR="00CB0F72">
        <w:rPr>
          <w:sz w:val="24"/>
          <w:szCs w:val="24"/>
          <w:lang w:val="bg-BG"/>
        </w:rPr>
        <w:t xml:space="preserve">назначени на </w:t>
      </w:r>
      <w:r w:rsidR="00DD1CE0">
        <w:rPr>
          <w:sz w:val="24"/>
          <w:szCs w:val="24"/>
          <w:lang w:val="bg-BG"/>
        </w:rPr>
        <w:t>пълен /</w:t>
      </w:r>
      <w:r w:rsidR="00CB0F72">
        <w:rPr>
          <w:sz w:val="24"/>
          <w:szCs w:val="24"/>
          <w:lang w:val="bg-BG"/>
        </w:rPr>
        <w:t xml:space="preserve">8 </w:t>
      </w:r>
      <w:r w:rsidR="00DD1CE0">
        <w:rPr>
          <w:sz w:val="24"/>
          <w:szCs w:val="24"/>
          <w:lang w:val="bg-BG"/>
        </w:rPr>
        <w:t xml:space="preserve">/ </w:t>
      </w:r>
      <w:r w:rsidR="00CB0F72">
        <w:rPr>
          <w:sz w:val="24"/>
          <w:szCs w:val="24"/>
          <w:lang w:val="bg-BG"/>
        </w:rPr>
        <w:t xml:space="preserve">часов работен ден,  </w:t>
      </w:r>
      <w:r w:rsidRPr="004B509D">
        <w:rPr>
          <w:sz w:val="24"/>
          <w:szCs w:val="24"/>
          <w:lang w:val="bg-BG"/>
        </w:rPr>
        <w:t>не може да надхвърлят средно месечната брутна заплата на наетите лица по трудово и служебно правоотношение за икономическа дейност код М „Професионални дейности и научни изследвания“, изчислена по следния начин:</w:t>
      </w:r>
    </w:p>
    <w:p w14:paraId="55AC9243" w14:textId="1B71E2A7" w:rsidR="004B509D" w:rsidRPr="00C47D71" w:rsidRDefault="00406D34" w:rsidP="004B509D">
      <w:pPr>
        <w:ind w:right="67"/>
        <w:jc w:val="both"/>
        <w:rPr>
          <w:color w:val="000000" w:themeColor="text1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а) </w:t>
      </w:r>
      <w:r w:rsidR="00D85289">
        <w:rPr>
          <w:sz w:val="24"/>
          <w:szCs w:val="24"/>
          <w:lang w:val="bg-BG"/>
        </w:rPr>
        <w:t>с</w:t>
      </w:r>
      <w:r w:rsidR="004B509D" w:rsidRPr="004B509D">
        <w:rPr>
          <w:sz w:val="24"/>
          <w:szCs w:val="24"/>
          <w:lang w:val="bg-BG"/>
        </w:rPr>
        <w:t xml:space="preserve">редна годишна брутна месечна заплата на наетите лица на осем часов работен ден, по трудово и </w:t>
      </w:r>
      <w:r w:rsidR="004B509D" w:rsidRPr="001C4D73">
        <w:rPr>
          <w:sz w:val="24"/>
          <w:szCs w:val="24"/>
          <w:lang w:val="bg-BG"/>
        </w:rPr>
        <w:t xml:space="preserve">служебно правоотношение за икономическа дейност код М „Професионални дейности и научни изследвания“ </w:t>
      </w:r>
      <w:r w:rsidR="004B509D" w:rsidRPr="00C47D71">
        <w:rPr>
          <w:color w:val="000000" w:themeColor="text1"/>
          <w:sz w:val="24"/>
          <w:szCs w:val="24"/>
          <w:lang w:val="bg-BG"/>
        </w:rPr>
        <w:t xml:space="preserve">за определената по </w:t>
      </w:r>
      <w:r w:rsidR="00D85289" w:rsidRPr="00C47D71">
        <w:rPr>
          <w:color w:val="000000" w:themeColor="text1"/>
          <w:sz w:val="24"/>
          <w:szCs w:val="24"/>
          <w:lang w:val="bg-BG"/>
        </w:rPr>
        <w:t xml:space="preserve">т. </w:t>
      </w:r>
      <w:r w:rsidR="001C5954">
        <w:rPr>
          <w:color w:val="000000" w:themeColor="text1"/>
          <w:sz w:val="24"/>
          <w:szCs w:val="24"/>
          <w:lang w:val="bg-BG"/>
        </w:rPr>
        <w:t>3</w:t>
      </w:r>
      <w:r w:rsidR="000C2D33" w:rsidRPr="00C47D71">
        <w:rPr>
          <w:color w:val="000000" w:themeColor="text1"/>
        </w:rPr>
        <w:t xml:space="preserve"> </w:t>
      </w:r>
      <w:r w:rsidR="001C5954">
        <w:rPr>
          <w:color w:val="000000" w:themeColor="text1"/>
          <w:sz w:val="24"/>
          <w:szCs w:val="24"/>
          <w:lang w:val="bg-BG"/>
        </w:rPr>
        <w:t>от раздел 12</w:t>
      </w:r>
      <w:r w:rsidR="001C4D73" w:rsidRPr="00C47D71">
        <w:rPr>
          <w:color w:val="000000" w:themeColor="text1"/>
          <w:sz w:val="24"/>
          <w:szCs w:val="24"/>
          <w:lang w:val="bg-BG"/>
        </w:rPr>
        <w:t xml:space="preserve"> „Допустими разходи“</w:t>
      </w:r>
      <w:r w:rsidR="004B509D" w:rsidRPr="00C47D71">
        <w:rPr>
          <w:color w:val="000000" w:themeColor="text1"/>
          <w:sz w:val="24"/>
          <w:szCs w:val="24"/>
          <w:lang w:val="bg-BG"/>
        </w:rPr>
        <w:t xml:space="preserve"> годи</w:t>
      </w:r>
      <w:r w:rsidR="001C4D73" w:rsidRPr="00C47D71">
        <w:rPr>
          <w:color w:val="000000" w:themeColor="text1"/>
          <w:sz w:val="24"/>
          <w:szCs w:val="24"/>
          <w:lang w:val="bg-BG"/>
        </w:rPr>
        <w:t>ш</w:t>
      </w:r>
      <w:r w:rsidR="004B509D" w:rsidRPr="00C47D71">
        <w:rPr>
          <w:color w:val="000000" w:themeColor="text1"/>
          <w:sz w:val="24"/>
          <w:szCs w:val="24"/>
          <w:lang w:val="bg-BG"/>
        </w:rPr>
        <w:t>на</w:t>
      </w:r>
      <w:r w:rsidR="001C4D73" w:rsidRPr="00C47D71">
        <w:rPr>
          <w:color w:val="000000" w:themeColor="text1"/>
          <w:sz w:val="24"/>
          <w:szCs w:val="24"/>
          <w:lang w:val="bg-BG"/>
        </w:rPr>
        <w:t xml:space="preserve"> заплата</w:t>
      </w:r>
      <w:r w:rsidR="004B509D" w:rsidRPr="00C47D71">
        <w:rPr>
          <w:color w:val="000000" w:themeColor="text1"/>
          <w:sz w:val="24"/>
          <w:szCs w:val="24"/>
          <w:lang w:val="bg-BG"/>
        </w:rPr>
        <w:t xml:space="preserve"> се раздели на 12 и се закръгли надолу до най-близкото цяло число;</w:t>
      </w:r>
    </w:p>
    <w:p w14:paraId="28761BE2" w14:textId="33C1E00A" w:rsidR="00D601F0" w:rsidRPr="00C47D71" w:rsidRDefault="00406D34" w:rsidP="004B509D">
      <w:pPr>
        <w:ind w:right="67"/>
        <w:jc w:val="both"/>
        <w:rPr>
          <w:color w:val="000000" w:themeColor="text1"/>
          <w:sz w:val="24"/>
          <w:szCs w:val="24"/>
          <w:lang w:val="bg-BG"/>
        </w:rPr>
      </w:pPr>
      <w:r w:rsidRPr="00C47D71">
        <w:rPr>
          <w:color w:val="000000" w:themeColor="text1"/>
          <w:sz w:val="24"/>
          <w:szCs w:val="24"/>
          <w:lang w:val="bg-BG"/>
        </w:rPr>
        <w:t xml:space="preserve">б) </w:t>
      </w:r>
      <w:r w:rsidR="004B509D" w:rsidRPr="00C47D71">
        <w:rPr>
          <w:color w:val="000000" w:themeColor="text1"/>
          <w:sz w:val="24"/>
          <w:szCs w:val="24"/>
          <w:lang w:val="bg-BG"/>
        </w:rPr>
        <w:t>за целите на буква „а“ се взема предвид посочената общо за обществения и частен сектор средна годишна брутна месечна заплата на наетите лица по трудово и служебно правоотношение за икономическа дейност код М „Професионални дейности и научни изследвания“ за определената година.</w:t>
      </w:r>
      <w:r w:rsidR="00D726E4">
        <w:rPr>
          <w:color w:val="000000" w:themeColor="text1"/>
          <w:sz w:val="24"/>
          <w:szCs w:val="24"/>
        </w:rPr>
        <w:t xml:space="preserve"> </w:t>
      </w:r>
    </w:p>
    <w:p w14:paraId="7359E2CF" w14:textId="26A59DA6" w:rsidR="004B509D" w:rsidRDefault="004B509D" w:rsidP="00D726E4">
      <w:pPr>
        <w:ind w:right="67" w:firstLine="708"/>
        <w:jc w:val="both"/>
        <w:rPr>
          <w:sz w:val="24"/>
          <w:szCs w:val="24"/>
          <w:lang w:val="bg-BG"/>
        </w:rPr>
      </w:pPr>
      <w:r w:rsidRPr="00C47D71">
        <w:rPr>
          <w:color w:val="000000" w:themeColor="text1"/>
          <w:sz w:val="24"/>
          <w:szCs w:val="24"/>
          <w:lang w:val="bg-BG"/>
        </w:rPr>
        <w:t xml:space="preserve">Конкретният размер на основните </w:t>
      </w:r>
      <w:r w:rsidRPr="004B509D">
        <w:rPr>
          <w:sz w:val="24"/>
          <w:szCs w:val="24"/>
          <w:lang w:val="bg-BG"/>
        </w:rPr>
        <w:t xml:space="preserve">индивидуални месечни заплати на служителите в </w:t>
      </w:r>
      <w:r w:rsidR="00D85289">
        <w:rPr>
          <w:sz w:val="24"/>
          <w:szCs w:val="24"/>
          <w:lang w:val="bg-BG"/>
        </w:rPr>
        <w:t>мобилните офиси</w:t>
      </w:r>
      <w:r w:rsidRPr="004B509D">
        <w:rPr>
          <w:sz w:val="24"/>
          <w:szCs w:val="24"/>
          <w:lang w:val="bg-BG"/>
        </w:rPr>
        <w:t xml:space="preserve"> се определя съгласно актуалната към датата на назначаване Процедура за подбор и определяне на възнагражденията на експертите в административната структура на </w:t>
      </w:r>
      <w:r w:rsidR="00D85289">
        <w:rPr>
          <w:sz w:val="24"/>
          <w:szCs w:val="24"/>
          <w:lang w:val="bg-BG"/>
        </w:rPr>
        <w:t>НССЗ</w:t>
      </w:r>
      <w:r w:rsidRPr="004B509D">
        <w:rPr>
          <w:sz w:val="24"/>
          <w:szCs w:val="24"/>
          <w:lang w:val="bg-BG"/>
        </w:rPr>
        <w:t>.</w:t>
      </w:r>
    </w:p>
    <w:p w14:paraId="5A5F20E6" w14:textId="5A47AD78" w:rsidR="004B509D" w:rsidRDefault="00CB0F72" w:rsidP="00A67174">
      <w:pPr>
        <w:ind w:right="67" w:firstLine="708"/>
        <w:jc w:val="both"/>
        <w:rPr>
          <w:sz w:val="24"/>
          <w:szCs w:val="24"/>
          <w:lang w:val="bg-BG"/>
        </w:rPr>
      </w:pPr>
      <w:r w:rsidRPr="00CB0F72">
        <w:rPr>
          <w:sz w:val="24"/>
          <w:szCs w:val="24"/>
          <w:lang w:val="bg-BG"/>
        </w:rPr>
        <w:t>Брутна работна заплата е възнаграждението, което лицето получава за положения от него труд преди приспадането на задължителните и доброволните вноски за социално и здравно осигуряване и данъчните начисления за сметка на наетото лице. Брутната работна заплата на наетите лица включва начислените средства за: основна заплата за отработено време или извършена работа; възнаграждение за основен и допълнителен платен годишен отпуск и други видове платени отпуски съгласно КТ и ЗДС; възнаграждение за извънреден труд; допълнителни трудови възнаграждения за продължителна работа, нощен труд, работа при вредни или други специфични условия на труд, р</w:t>
      </w:r>
      <w:r w:rsidR="00DD1CE0">
        <w:rPr>
          <w:sz w:val="24"/>
          <w:szCs w:val="24"/>
          <w:lang w:val="bg-BG"/>
        </w:rPr>
        <w:t>абота в празнични и почивни дни и</w:t>
      </w:r>
      <w:r w:rsidRPr="00CB0F72">
        <w:rPr>
          <w:sz w:val="24"/>
          <w:szCs w:val="24"/>
          <w:lang w:val="bg-BG"/>
        </w:rPr>
        <w:t xml:space="preserve"> други съгласно КТ или договорени чрез колективен трудов договор; допълнително материално стимулиране под формата на месечни, тримесечни и годишни премии.</w:t>
      </w:r>
    </w:p>
    <w:p w14:paraId="0AD6B6D4" w14:textId="77777777" w:rsidR="00DD1CE0" w:rsidRDefault="00DD1CE0" w:rsidP="005E2578">
      <w:pPr>
        <w:ind w:right="67"/>
        <w:jc w:val="both"/>
        <w:rPr>
          <w:sz w:val="24"/>
          <w:szCs w:val="24"/>
          <w:lang w:val="bg-BG"/>
        </w:rPr>
      </w:pPr>
    </w:p>
    <w:p w14:paraId="1C789FDF" w14:textId="77777777" w:rsidR="002570EB" w:rsidRDefault="002570EB" w:rsidP="005E2578">
      <w:pPr>
        <w:ind w:right="67"/>
        <w:jc w:val="both"/>
        <w:rPr>
          <w:sz w:val="24"/>
          <w:szCs w:val="24"/>
          <w:lang w:val="bg-BG"/>
        </w:rPr>
      </w:pPr>
    </w:p>
    <w:p w14:paraId="5A99E036" w14:textId="77777777" w:rsidR="002570EB" w:rsidRDefault="002570EB" w:rsidP="005E2578">
      <w:pPr>
        <w:ind w:right="67"/>
        <w:jc w:val="both"/>
        <w:rPr>
          <w:sz w:val="24"/>
          <w:szCs w:val="24"/>
          <w:lang w:val="bg-BG"/>
        </w:rPr>
      </w:pPr>
    </w:p>
    <w:p w14:paraId="130F656F" w14:textId="5C3B6C47" w:rsidR="00754CB0" w:rsidRPr="002570EB" w:rsidRDefault="00A912D8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  <w:r w:rsidRPr="00A912D8">
        <w:rPr>
          <w:b/>
          <w:sz w:val="24"/>
          <w:szCs w:val="24"/>
          <w:lang w:val="bg-BG"/>
        </w:rPr>
        <w:lastRenderedPageBreak/>
        <w:t>Таблица № 1 „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Средна годишна заплата на наетите лица по труд</w:t>
      </w:r>
      <w:bookmarkStart w:id="0" w:name="_GoBack"/>
      <w:bookmarkEnd w:id="0"/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ово и служебно правоотношение по икономически дейности и сектори през 20</w:t>
      </w:r>
      <w:r w:rsidR="001C5954">
        <w:rPr>
          <w:b/>
          <w:bCs/>
          <w:color w:val="000000"/>
          <w:sz w:val="24"/>
          <w:szCs w:val="24"/>
          <w:shd w:val="clear" w:color="auto" w:fill="FFFFFF"/>
          <w:lang w:val="bg-BG"/>
        </w:rPr>
        <w:t>24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 година</w:t>
      </w:r>
      <w:r w:rsidR="00FC6675">
        <w:rPr>
          <w:b/>
          <w:bCs/>
          <w:color w:val="000000"/>
          <w:sz w:val="24"/>
          <w:szCs w:val="24"/>
          <w:shd w:val="clear" w:color="auto" w:fill="FFFFFF"/>
          <w:lang w:val="bg-BG"/>
        </w:rPr>
        <w:t>“</w:t>
      </w:r>
      <w:r w:rsidR="002570EB" w:rsidRPr="00D76AFA">
        <w:rPr>
          <w:b/>
          <w:bCs/>
          <w:color w:val="000000"/>
          <w:sz w:val="32"/>
          <w:szCs w:val="24"/>
          <w:shd w:val="clear" w:color="auto" w:fill="FFFFFF"/>
          <w:lang w:val="bg-BG"/>
        </w:rPr>
        <w:t>*</w:t>
      </w:r>
      <w:r w:rsidR="00FC6675" w:rsidRPr="00D76AFA">
        <w:rPr>
          <w:b/>
          <w:bCs/>
          <w:color w:val="000000"/>
          <w:sz w:val="32"/>
          <w:szCs w:val="24"/>
          <w:shd w:val="clear" w:color="auto" w:fill="FFFFFF"/>
          <w:lang w:val="bg-BG"/>
        </w:rPr>
        <w:t xml:space="preserve"> </w:t>
      </w:r>
    </w:p>
    <w:p w14:paraId="6A500D21" w14:textId="2A8563CB" w:rsidR="00D726E4" w:rsidRPr="002570EB" w:rsidRDefault="002570EB" w:rsidP="002570EB">
      <w:pPr>
        <w:ind w:left="8496" w:right="68"/>
        <w:jc w:val="both"/>
        <w:rPr>
          <w:bCs/>
          <w:color w:val="000000"/>
          <w:szCs w:val="24"/>
          <w:shd w:val="clear" w:color="auto" w:fill="FFFFFF"/>
          <w:lang w:val="bg-BG"/>
        </w:rPr>
      </w:pPr>
      <w:r>
        <w:rPr>
          <w:bCs/>
          <w:color w:val="000000"/>
          <w:szCs w:val="24"/>
          <w:shd w:val="clear" w:color="auto" w:fill="FFFFFF"/>
          <w:lang w:val="bg-BG"/>
        </w:rPr>
        <w:t xml:space="preserve">           </w:t>
      </w:r>
      <w:r w:rsidRPr="002570EB">
        <w:rPr>
          <w:bCs/>
          <w:color w:val="000000"/>
          <w:szCs w:val="24"/>
          <w:shd w:val="clear" w:color="auto" w:fill="FFFFFF"/>
          <w:lang w:val="bg-BG"/>
        </w:rPr>
        <w:t>(левове)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8"/>
        <w:gridCol w:w="1196"/>
        <w:gridCol w:w="1126"/>
      </w:tblGrid>
      <w:tr w:rsidR="00673DFA" w:rsidRPr="007B0C05" w14:paraId="70058CA8" w14:textId="77777777" w:rsidTr="00E605D1">
        <w:trPr>
          <w:trHeight w:val="288"/>
        </w:trPr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7786DD2" w14:textId="39E7BA07" w:rsidR="00673DFA" w:rsidRPr="007B0C05" w:rsidRDefault="00673DFA" w:rsidP="00673DFA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Икономическа дейност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219F0BF" w14:textId="4E3EF3EA" w:rsidR="00673DFA" w:rsidRPr="007B0C05" w:rsidRDefault="00673DFA" w:rsidP="00673DFA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за година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835B8F5" w14:textId="4ED19BBE" w:rsidR="00673DFA" w:rsidRPr="007B0C05" w:rsidRDefault="00673DFA" w:rsidP="00673DFA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за месец</w:t>
            </w:r>
          </w:p>
        </w:tc>
      </w:tr>
      <w:tr w:rsidR="002570EB" w:rsidRPr="007B0C05" w14:paraId="693FF16B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FA53" w14:textId="657D8901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Селско, горско и рибно стопанство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0E35" w14:textId="6C31CF39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19</w:t>
            </w:r>
            <w:r>
              <w:rPr>
                <w:lang w:val="bg-BG"/>
              </w:rPr>
              <w:t> </w:t>
            </w:r>
            <w:r w:rsidRPr="007F2936">
              <w:t>628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6C8BD" w14:textId="266F0F83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>
              <w:rPr>
                <w:color w:val="000000"/>
                <w:szCs w:val="22"/>
              </w:rPr>
              <w:t>1 635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67</w:t>
            </w:r>
          </w:p>
        </w:tc>
      </w:tr>
      <w:tr w:rsidR="002570EB" w:rsidRPr="007B0C05" w14:paraId="0DC157D6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D9253" w14:textId="694CDA0C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7B0C05">
              <w:rPr>
                <w:lang w:val="bg-BG"/>
              </w:rPr>
              <w:t>Добивна</w:t>
            </w:r>
            <w:proofErr w:type="spellEnd"/>
            <w:r w:rsidRPr="007B0C05">
              <w:rPr>
                <w:lang w:val="bg-BG"/>
              </w:rPr>
              <w:t xml:space="preserve"> промишленост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36F0A" w14:textId="384A04D7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33</w:t>
            </w:r>
            <w:r>
              <w:rPr>
                <w:lang w:val="bg-BG"/>
              </w:rPr>
              <w:t> </w:t>
            </w:r>
            <w:r w:rsidRPr="007F2936">
              <w:t>577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7BA42" w14:textId="220D7F2E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798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08</w:t>
            </w:r>
          </w:p>
        </w:tc>
      </w:tr>
      <w:tr w:rsidR="002570EB" w:rsidRPr="007B0C05" w14:paraId="621D93CF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368C2" w14:textId="2A612A1F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Преработваща промишленост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6C747" w14:textId="6C9A80FA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23</w:t>
            </w:r>
            <w:r>
              <w:rPr>
                <w:lang w:val="bg-BG"/>
              </w:rPr>
              <w:t> </w:t>
            </w:r>
            <w:r w:rsidRPr="007F2936">
              <w:t>286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79862" w14:textId="531D188F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1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940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50</w:t>
            </w:r>
          </w:p>
        </w:tc>
      </w:tr>
      <w:tr w:rsidR="002570EB" w:rsidRPr="007B0C05" w14:paraId="6D735B3B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C4C7C" w14:textId="216B02F3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 xml:space="preserve">Производство и разпределение на електрическа и топлинна енергия и на газообразни горива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F430" w14:textId="392E38CE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39</w:t>
            </w:r>
            <w:r>
              <w:rPr>
                <w:lang w:val="bg-BG"/>
              </w:rPr>
              <w:t> </w:t>
            </w:r>
            <w:r w:rsidRPr="007F2936">
              <w:t>995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A7F52" w14:textId="32CCADA4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332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92</w:t>
            </w:r>
          </w:p>
        </w:tc>
      </w:tr>
      <w:tr w:rsidR="002570EB" w:rsidRPr="007B0C05" w14:paraId="268C6360" w14:textId="77777777" w:rsidTr="007A2C25">
        <w:trPr>
          <w:trHeight w:val="324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FDC98" w14:textId="7BEE3950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Доставяне на води; канализационни услуги, управление на отпадъци и възстановяване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E9E4B" w14:textId="6CFB94E0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20</w:t>
            </w:r>
            <w:r>
              <w:rPr>
                <w:lang w:val="bg-BG"/>
              </w:rPr>
              <w:t> </w:t>
            </w:r>
            <w:r w:rsidRPr="007F2936">
              <w:t>603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B6C73" w14:textId="15731E04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1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716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92</w:t>
            </w:r>
          </w:p>
        </w:tc>
      </w:tr>
      <w:tr w:rsidR="002570EB" w:rsidRPr="007B0C05" w14:paraId="0366A4E3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D2D6B" w14:textId="7BB4FEBE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Строителство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45004" w14:textId="63A5238E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21</w:t>
            </w:r>
            <w:r>
              <w:rPr>
                <w:lang w:val="bg-BG"/>
              </w:rPr>
              <w:t> </w:t>
            </w:r>
            <w:r w:rsidRPr="007F2936">
              <w:t>963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E83E4" w14:textId="1DCD3208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1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830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25</w:t>
            </w:r>
          </w:p>
        </w:tc>
      </w:tr>
      <w:tr w:rsidR="002570EB" w:rsidRPr="007B0C05" w14:paraId="387B4D19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0510A" w14:textId="7EFFEDA6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Търговия; ремонт на автомобили и мотоциклети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A56E" w14:textId="6C04F614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24</w:t>
            </w:r>
            <w:r>
              <w:rPr>
                <w:lang w:val="bg-BG"/>
              </w:rPr>
              <w:t> </w:t>
            </w:r>
            <w:r w:rsidRPr="007F2936">
              <w:t>408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43AA9" w14:textId="365A1756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034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00</w:t>
            </w:r>
          </w:p>
        </w:tc>
      </w:tr>
      <w:tr w:rsidR="002570EB" w:rsidRPr="007B0C05" w14:paraId="432575B0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7A8A" w14:textId="14E54AAE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Транспорт, складиране и съобщения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F04C2" w14:textId="3DB2B724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23</w:t>
            </w:r>
            <w:r>
              <w:rPr>
                <w:lang w:val="bg-BG"/>
              </w:rPr>
              <w:t> </w:t>
            </w:r>
            <w:r w:rsidRPr="007F2936">
              <w:t>588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64D70" w14:textId="1D65785B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1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965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67</w:t>
            </w:r>
          </w:p>
        </w:tc>
      </w:tr>
      <w:tr w:rsidR="002570EB" w:rsidRPr="007B0C05" w14:paraId="5CB2BFA5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BD07" w14:textId="48E94AC1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Хотелиерство и ресторантьорство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07215" w14:textId="1602C552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17</w:t>
            </w:r>
            <w:r>
              <w:rPr>
                <w:lang w:val="bg-BG"/>
              </w:rPr>
              <w:t> </w:t>
            </w:r>
            <w:r w:rsidRPr="007F2936">
              <w:t>665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586D8" w14:textId="65A52DD1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1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472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08</w:t>
            </w:r>
          </w:p>
        </w:tc>
      </w:tr>
      <w:tr w:rsidR="002570EB" w:rsidRPr="007B0C05" w14:paraId="463A03CB" w14:textId="77777777" w:rsidTr="007A2C25">
        <w:trPr>
          <w:trHeight w:val="336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EF91A" w14:textId="64A01888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Създаване и разпространение на информация и творчески продукти; далекосъобщения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74452" w14:textId="26DD2C0F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63</w:t>
            </w:r>
            <w:r>
              <w:rPr>
                <w:lang w:val="bg-BG"/>
              </w:rPr>
              <w:t> </w:t>
            </w:r>
            <w:r w:rsidRPr="007F2936">
              <w:t>360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4CA84" w14:textId="5CD760FE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5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280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00</w:t>
            </w:r>
          </w:p>
        </w:tc>
      </w:tr>
      <w:tr w:rsidR="002570EB" w:rsidRPr="007B0C05" w14:paraId="3418146E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0546B" w14:textId="15A18722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Финансови и застрахователни дейности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36643" w14:textId="6B91531D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41</w:t>
            </w:r>
            <w:r>
              <w:rPr>
                <w:lang w:val="bg-BG"/>
              </w:rPr>
              <w:t> </w:t>
            </w:r>
            <w:r w:rsidRPr="007F2936">
              <w:t>044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6E691" w14:textId="16AD5984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420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33</w:t>
            </w:r>
          </w:p>
        </w:tc>
      </w:tr>
      <w:tr w:rsidR="002570EB" w:rsidRPr="007B0C05" w14:paraId="724D6F17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48BF1" w14:textId="5BBFBE58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Операции с недвижими имоти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5711" w14:textId="04B550B6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25</w:t>
            </w:r>
            <w:r>
              <w:rPr>
                <w:lang w:val="bg-BG"/>
              </w:rPr>
              <w:t> </w:t>
            </w:r>
            <w:r w:rsidRPr="007F2936">
              <w:t>638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E220E" w14:textId="7749A5A6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136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50</w:t>
            </w:r>
          </w:p>
        </w:tc>
      </w:tr>
      <w:tr w:rsidR="002570EB" w:rsidRPr="007B0C05" w14:paraId="1795D18B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BB6E0" w14:textId="7EA06147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Професионални дейности и научни изследвания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36A0C" w14:textId="385A6ACC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38</w:t>
            </w:r>
            <w:r>
              <w:rPr>
                <w:lang w:val="bg-BG"/>
              </w:rPr>
              <w:t> </w:t>
            </w:r>
            <w:r w:rsidRPr="007F2936">
              <w:t>179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80A74" w14:textId="37C0D141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181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58</w:t>
            </w:r>
          </w:p>
        </w:tc>
      </w:tr>
      <w:tr w:rsidR="002570EB" w:rsidRPr="007B0C05" w14:paraId="2692DE5E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48D52" w14:textId="47A3FA36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Административни и спомагателни дейности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E7C1A" w14:textId="7732E51B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23</w:t>
            </w:r>
            <w:r>
              <w:rPr>
                <w:lang w:val="bg-BG"/>
              </w:rPr>
              <w:t> </w:t>
            </w:r>
            <w:r w:rsidRPr="007F2936">
              <w:t>119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BA7D7" w14:textId="5996E888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1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926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58</w:t>
            </w:r>
          </w:p>
        </w:tc>
      </w:tr>
      <w:tr w:rsidR="002570EB" w:rsidRPr="007B0C05" w14:paraId="702712D4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97EE8" w14:textId="1CF5CFD5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Държавно управление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846A" w14:textId="4606DA96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32</w:t>
            </w:r>
            <w:r>
              <w:rPr>
                <w:lang w:val="bg-BG"/>
              </w:rPr>
              <w:t> </w:t>
            </w:r>
            <w:r w:rsidRPr="007F2936">
              <w:t>822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2B358" w14:textId="3EA60E70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735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17</w:t>
            </w:r>
          </w:p>
        </w:tc>
      </w:tr>
      <w:tr w:rsidR="002570EB" w:rsidRPr="007B0C05" w14:paraId="7299718B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A4362" w14:textId="3D513365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Образование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7BD85" w14:textId="113409C5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30</w:t>
            </w:r>
            <w:r>
              <w:rPr>
                <w:lang w:val="bg-BG"/>
              </w:rPr>
              <w:t> </w:t>
            </w:r>
            <w:r w:rsidRPr="007F2936">
              <w:t>202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E9CFC" w14:textId="1437F546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516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83</w:t>
            </w:r>
          </w:p>
        </w:tc>
      </w:tr>
      <w:tr w:rsidR="002570EB" w:rsidRPr="007B0C05" w14:paraId="5435B565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5E766" w14:textId="431B7CBB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 xml:space="preserve">Хуманно здравеопазване и социална работа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AD7F3" w14:textId="6A6767D7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28</w:t>
            </w:r>
            <w:r>
              <w:rPr>
                <w:lang w:val="bg-BG"/>
              </w:rPr>
              <w:t> </w:t>
            </w:r>
            <w:r w:rsidRPr="007F2936">
              <w:t>536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B38FA" w14:textId="5D0B3448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378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00</w:t>
            </w:r>
          </w:p>
        </w:tc>
      </w:tr>
      <w:tr w:rsidR="002570EB" w:rsidRPr="007B0C05" w14:paraId="1F6E048D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CD715" w14:textId="1396BACC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Култура, спорт и развлечения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40FFA" w14:textId="4DB93EDA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24</w:t>
            </w:r>
            <w:r>
              <w:rPr>
                <w:lang w:val="bg-BG"/>
              </w:rPr>
              <w:t> </w:t>
            </w:r>
            <w:r w:rsidRPr="007F2936">
              <w:t>164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5D160" w14:textId="165E79F7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013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67</w:t>
            </w:r>
          </w:p>
        </w:tc>
      </w:tr>
      <w:tr w:rsidR="007A2C25" w:rsidRPr="007B0C05" w14:paraId="7ECBB713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1634C" w14:textId="590ACF96" w:rsidR="007A2C25" w:rsidRPr="007B0C05" w:rsidRDefault="007A2C25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Други дейности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3EC9" w14:textId="070806F7" w:rsidR="007A2C25" w:rsidRPr="002570EB" w:rsidRDefault="007A2C25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19</w:t>
            </w:r>
            <w:r w:rsidR="002570EB">
              <w:rPr>
                <w:lang w:val="bg-BG"/>
              </w:rPr>
              <w:t> </w:t>
            </w:r>
            <w:r w:rsidRPr="007F2936">
              <w:t>219</w:t>
            </w:r>
            <w:r w:rsidR="002570EB"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49F9B" w14:textId="38FA1E44" w:rsidR="007A2C25" w:rsidRPr="007A2C25" w:rsidRDefault="002570EB" w:rsidP="002570EB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>
              <w:rPr>
                <w:color w:val="000000"/>
                <w:szCs w:val="22"/>
                <w:lang w:val="bg-BG"/>
              </w:rPr>
              <w:t>1 6</w:t>
            </w:r>
            <w:r w:rsidR="007A2C25" w:rsidRPr="007A2C25">
              <w:rPr>
                <w:color w:val="000000"/>
                <w:szCs w:val="22"/>
              </w:rPr>
              <w:t>01</w:t>
            </w:r>
            <w:r w:rsidR="007A2C25">
              <w:rPr>
                <w:color w:val="000000"/>
                <w:szCs w:val="22"/>
                <w:lang w:val="bg-BG"/>
              </w:rPr>
              <w:t>.</w:t>
            </w:r>
            <w:r>
              <w:rPr>
                <w:color w:val="000000"/>
                <w:szCs w:val="22"/>
                <w:lang w:val="bg-BG"/>
              </w:rPr>
              <w:t>58</w:t>
            </w:r>
          </w:p>
        </w:tc>
      </w:tr>
    </w:tbl>
    <w:p w14:paraId="3D465EFA" w14:textId="19850107" w:rsidR="002570EB" w:rsidRPr="002570EB" w:rsidRDefault="002570EB" w:rsidP="002570EB">
      <w:pPr>
        <w:ind w:right="68"/>
        <w:jc w:val="both"/>
        <w:rPr>
          <w:bCs/>
          <w:color w:val="000000"/>
          <w:sz w:val="22"/>
          <w:szCs w:val="24"/>
          <w:shd w:val="clear" w:color="auto" w:fill="FFFFFF"/>
          <w:lang w:val="bg-BG"/>
        </w:rPr>
      </w:pPr>
      <w:r w:rsidRPr="002570EB">
        <w:rPr>
          <w:bCs/>
          <w:color w:val="000000"/>
          <w:sz w:val="22"/>
          <w:szCs w:val="24"/>
          <w:shd w:val="clear" w:color="auto" w:fill="FFFFFF"/>
          <w:lang w:val="bg-BG"/>
        </w:rPr>
        <w:t xml:space="preserve">* </w:t>
      </w:r>
      <w:r w:rsidRPr="004D5EAB">
        <w:rPr>
          <w:bCs/>
          <w:i/>
          <w:color w:val="000000"/>
          <w:sz w:val="22"/>
          <w:szCs w:val="24"/>
          <w:shd w:val="clear" w:color="auto" w:fill="FFFFFF"/>
          <w:lang w:val="bg-BG"/>
        </w:rPr>
        <w:t>предварителни данни, публикувани на 26.02.2025 г.</w:t>
      </w:r>
    </w:p>
    <w:p w14:paraId="26BC3A04" w14:textId="77777777" w:rsidR="002570EB" w:rsidRDefault="002570EB" w:rsidP="002570EB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</w:p>
    <w:p w14:paraId="5E71C6FE" w14:textId="505085EF" w:rsidR="00F811D3" w:rsidRPr="00D80FE5" w:rsidRDefault="005E2578" w:rsidP="005E2578">
      <w:pPr>
        <w:ind w:right="71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Пример:  Определяне  </w:t>
      </w:r>
      <w:r w:rsidR="00B72FC6">
        <w:rPr>
          <w:b/>
          <w:sz w:val="24"/>
          <w:szCs w:val="24"/>
          <w:lang w:val="bg-BG"/>
        </w:rPr>
        <w:t xml:space="preserve">на </w:t>
      </w:r>
      <w:r w:rsidR="00727E45">
        <w:rPr>
          <w:b/>
          <w:sz w:val="24"/>
          <w:szCs w:val="24"/>
          <w:lang w:val="bg-BG"/>
        </w:rPr>
        <w:t xml:space="preserve">максимален размер </w:t>
      </w:r>
      <w:r w:rsidR="00727E45" w:rsidRPr="00DE105C">
        <w:rPr>
          <w:b/>
          <w:sz w:val="24"/>
          <w:szCs w:val="24"/>
          <w:lang w:val="bg-BG"/>
        </w:rPr>
        <w:t xml:space="preserve">на </w:t>
      </w:r>
      <w:r w:rsidR="007F3A86" w:rsidRPr="00DE105C">
        <w:rPr>
          <w:b/>
          <w:sz w:val="24"/>
          <w:szCs w:val="24"/>
          <w:lang w:val="bg-BG"/>
        </w:rPr>
        <w:t>индивидуални</w:t>
      </w:r>
      <w:r w:rsidR="008C25EA" w:rsidRPr="00DE105C">
        <w:rPr>
          <w:b/>
          <w:sz w:val="24"/>
          <w:szCs w:val="24"/>
          <w:lang w:val="bg-BG"/>
        </w:rPr>
        <w:t>те</w:t>
      </w:r>
      <w:r w:rsidR="007F3A86" w:rsidRPr="00DE105C">
        <w:rPr>
          <w:b/>
          <w:sz w:val="24"/>
          <w:szCs w:val="24"/>
          <w:lang w:val="bg-BG"/>
        </w:rPr>
        <w:t xml:space="preserve"> </w:t>
      </w:r>
      <w:r w:rsidR="0022361C" w:rsidRPr="00DE105C">
        <w:rPr>
          <w:b/>
          <w:sz w:val="24"/>
          <w:szCs w:val="24"/>
          <w:lang w:val="bg-BG"/>
        </w:rPr>
        <w:t xml:space="preserve">брутни </w:t>
      </w:r>
      <w:r w:rsidR="007F3A86" w:rsidRPr="00DE105C">
        <w:rPr>
          <w:b/>
          <w:sz w:val="24"/>
          <w:szCs w:val="24"/>
          <w:lang w:val="bg-BG"/>
        </w:rPr>
        <w:t xml:space="preserve">месечни </w:t>
      </w:r>
      <w:r w:rsidR="00B72FC6" w:rsidRPr="00DE105C">
        <w:rPr>
          <w:b/>
          <w:sz w:val="24"/>
          <w:szCs w:val="24"/>
          <w:lang w:val="bg-BG"/>
        </w:rPr>
        <w:t xml:space="preserve"> възнаграждения за лица, които ще извършват </w:t>
      </w:r>
      <w:r w:rsidR="00C27F1F" w:rsidRPr="00DE105C">
        <w:rPr>
          <w:b/>
          <w:sz w:val="24"/>
          <w:szCs w:val="24"/>
          <w:lang w:val="bg-BG"/>
        </w:rPr>
        <w:t>консултан</w:t>
      </w:r>
      <w:r w:rsidR="00C27F1F">
        <w:rPr>
          <w:b/>
          <w:sz w:val="24"/>
          <w:szCs w:val="24"/>
          <w:lang w:val="bg-BG"/>
        </w:rPr>
        <w:t xml:space="preserve">тски (съветнически) </w:t>
      </w:r>
      <w:r w:rsidR="00B72FC6">
        <w:rPr>
          <w:b/>
          <w:sz w:val="24"/>
          <w:szCs w:val="24"/>
          <w:lang w:val="bg-BG"/>
        </w:rPr>
        <w:t>дейности по проекта</w:t>
      </w:r>
    </w:p>
    <w:p w14:paraId="4DEBF99B" w14:textId="77777777"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14:paraId="70D38865" w14:textId="348E3070" w:rsidR="00F811D3" w:rsidRPr="00A67174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За  20</w:t>
      </w:r>
      <w:r w:rsidR="00D345E9">
        <w:rPr>
          <w:sz w:val="24"/>
          <w:szCs w:val="24"/>
          <w:lang w:val="bg-BG"/>
        </w:rPr>
        <w:t>24</w:t>
      </w:r>
      <w:r w:rsidRPr="00D80FE5">
        <w:rPr>
          <w:sz w:val="24"/>
          <w:szCs w:val="24"/>
          <w:lang w:val="bg-BG"/>
        </w:rPr>
        <w:t xml:space="preserve">  г.  от  36</w:t>
      </w:r>
      <w:r w:rsidR="00D345E9">
        <w:rPr>
          <w:sz w:val="24"/>
          <w:szCs w:val="24"/>
          <w:lang w:val="bg-BG"/>
        </w:rPr>
        <w:t>6</w:t>
      </w:r>
      <w:r w:rsidRPr="00D80FE5">
        <w:rPr>
          <w:sz w:val="24"/>
          <w:szCs w:val="24"/>
          <w:lang w:val="bg-BG"/>
        </w:rPr>
        <w:t xml:space="preserve">  календарни  дни,  след  като  се  приспаднат  11</w:t>
      </w:r>
      <w:r w:rsidR="00D345E9">
        <w:rPr>
          <w:sz w:val="24"/>
          <w:szCs w:val="24"/>
          <w:lang w:val="bg-BG"/>
        </w:rPr>
        <w:t>5</w:t>
      </w:r>
      <w:r w:rsidRPr="00D80FE5">
        <w:rPr>
          <w:sz w:val="24"/>
          <w:szCs w:val="24"/>
          <w:lang w:val="bg-BG"/>
        </w:rPr>
        <w:t xml:space="preserve">  почивни  дни  и  дни  на официални празници, които не съвпадат със събота и неделя, се получават 2</w:t>
      </w:r>
      <w:r w:rsidR="00D345E9">
        <w:rPr>
          <w:sz w:val="24"/>
          <w:szCs w:val="24"/>
          <w:lang w:val="bg-BG"/>
        </w:rPr>
        <w:t>51</w:t>
      </w:r>
      <w:r w:rsidRPr="00D80FE5">
        <w:rPr>
          <w:sz w:val="24"/>
          <w:szCs w:val="24"/>
          <w:lang w:val="bg-BG"/>
        </w:rPr>
        <w:t xml:space="preserve"> работни дни. </w:t>
      </w:r>
      <w:r w:rsidRPr="00A67174">
        <w:rPr>
          <w:sz w:val="24"/>
          <w:szCs w:val="24"/>
          <w:lang w:val="bg-BG"/>
        </w:rPr>
        <w:t>Разделени на 12 месеца - за тази година средномесечният брой на работните дни е 21.</w:t>
      </w:r>
    </w:p>
    <w:p w14:paraId="7E2489C4" w14:textId="77777777" w:rsidR="00F811D3" w:rsidRPr="00A67174" w:rsidRDefault="00F811D3" w:rsidP="005E2578">
      <w:pPr>
        <w:rPr>
          <w:sz w:val="12"/>
          <w:szCs w:val="12"/>
          <w:lang w:val="bg-BG"/>
        </w:rPr>
      </w:pPr>
    </w:p>
    <w:p w14:paraId="5AC626CD" w14:textId="062D78EE" w:rsidR="00F811D3" w:rsidRPr="00A67174" w:rsidRDefault="00D345E9" w:rsidP="005E2578">
      <w:pPr>
        <w:ind w:right="68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</w:t>
      </w:r>
      <w:r w:rsidR="00A67174" w:rsidRPr="00780EC4">
        <w:rPr>
          <w:b/>
          <w:bCs/>
          <w:sz w:val="24"/>
          <w:szCs w:val="24"/>
          <w:lang w:val="bg-BG"/>
        </w:rPr>
        <w:t>одишна</w:t>
      </w:r>
      <w:r>
        <w:rPr>
          <w:b/>
          <w:bCs/>
          <w:sz w:val="24"/>
          <w:szCs w:val="24"/>
          <w:lang w:val="bg-BG"/>
        </w:rPr>
        <w:t>та</w:t>
      </w:r>
      <w:r w:rsidR="00A67174" w:rsidRPr="00780EC4">
        <w:rPr>
          <w:b/>
          <w:bCs/>
          <w:sz w:val="24"/>
          <w:szCs w:val="24"/>
          <w:lang w:val="bg-BG"/>
        </w:rPr>
        <w:t xml:space="preserve"> заплата на наетите лица по трудово и служебно правоотношение по икономическ</w:t>
      </w:r>
      <w:r w:rsidR="00A908C1">
        <w:rPr>
          <w:b/>
          <w:bCs/>
          <w:sz w:val="24"/>
          <w:szCs w:val="24"/>
          <w:lang w:val="bg-BG"/>
        </w:rPr>
        <w:t>а дейност</w:t>
      </w:r>
      <w:r w:rsidR="00A67174" w:rsidRPr="00780EC4">
        <w:rPr>
          <w:b/>
          <w:bCs/>
          <w:sz w:val="24"/>
          <w:szCs w:val="24"/>
          <w:lang w:val="bg-BG"/>
        </w:rPr>
        <w:t xml:space="preserve"> </w:t>
      </w:r>
      <w:r w:rsidR="00A908C1" w:rsidRPr="00A908C1">
        <w:rPr>
          <w:b/>
          <w:bCs/>
          <w:sz w:val="24"/>
          <w:szCs w:val="24"/>
          <w:lang w:val="bg-BG"/>
        </w:rPr>
        <w:t>„Професионални дейности и научни изследвания</w:t>
      </w:r>
      <w:r w:rsidR="00A908C1">
        <w:rPr>
          <w:b/>
          <w:bCs/>
          <w:sz w:val="24"/>
          <w:szCs w:val="24"/>
          <w:lang w:val="bg-BG"/>
        </w:rPr>
        <w:t>“</w:t>
      </w:r>
      <w:r w:rsidR="00A908C1" w:rsidRPr="00A908C1">
        <w:rPr>
          <w:b/>
          <w:bCs/>
          <w:sz w:val="24"/>
          <w:szCs w:val="24"/>
          <w:lang w:val="bg-BG"/>
        </w:rPr>
        <w:t xml:space="preserve"> </w:t>
      </w:r>
      <w:r w:rsidR="00A67174" w:rsidRPr="00780EC4">
        <w:rPr>
          <w:b/>
          <w:bCs/>
          <w:sz w:val="24"/>
          <w:szCs w:val="24"/>
          <w:lang w:val="bg-BG"/>
        </w:rPr>
        <w:t>през 20</w:t>
      </w:r>
      <w:r>
        <w:rPr>
          <w:b/>
          <w:bCs/>
          <w:sz w:val="24"/>
          <w:szCs w:val="24"/>
          <w:lang w:val="bg-BG"/>
        </w:rPr>
        <w:t>24</w:t>
      </w:r>
      <w:r w:rsidR="00A67174" w:rsidRPr="00A67174">
        <w:rPr>
          <w:b/>
          <w:bCs/>
          <w:sz w:val="24"/>
          <w:szCs w:val="24"/>
          <w:lang w:val="bg-BG"/>
        </w:rPr>
        <w:t xml:space="preserve"> година</w:t>
      </w:r>
      <w:r w:rsidR="00A67174" w:rsidRPr="00A67174">
        <w:rPr>
          <w:sz w:val="24"/>
          <w:szCs w:val="24"/>
          <w:lang w:val="bg-BG"/>
        </w:rPr>
        <w:t xml:space="preserve">, </w:t>
      </w:r>
      <w:r w:rsidR="005E2578" w:rsidRPr="00A67174">
        <w:rPr>
          <w:sz w:val="24"/>
          <w:szCs w:val="24"/>
          <w:lang w:val="bg-BG"/>
        </w:rPr>
        <w:t>съгласно данните, публикувани в статистика „</w:t>
      </w:r>
      <w:r w:rsidR="005E2578" w:rsidRPr="00A67174">
        <w:rPr>
          <w:i/>
          <w:sz w:val="24"/>
          <w:szCs w:val="24"/>
          <w:lang w:val="bg-BG"/>
        </w:rPr>
        <w:t>Пазар на труда”</w:t>
      </w:r>
      <w:r w:rsidR="00A67174" w:rsidRPr="00A67174">
        <w:rPr>
          <w:i/>
          <w:sz w:val="24"/>
          <w:szCs w:val="24"/>
          <w:lang w:val="bg-BG"/>
        </w:rPr>
        <w:t xml:space="preserve"> </w:t>
      </w:r>
      <w:r w:rsidR="004D5EAB">
        <w:rPr>
          <w:sz w:val="24"/>
          <w:szCs w:val="24"/>
          <w:lang w:val="bg-BG"/>
        </w:rPr>
        <w:t xml:space="preserve">на </w:t>
      </w:r>
      <w:r w:rsidR="005E2578" w:rsidRPr="00A67174">
        <w:rPr>
          <w:sz w:val="24"/>
          <w:szCs w:val="24"/>
          <w:lang w:val="bg-BG"/>
        </w:rPr>
        <w:t xml:space="preserve">интернет   </w:t>
      </w:r>
      <w:r w:rsidR="002570EB">
        <w:rPr>
          <w:sz w:val="24"/>
          <w:szCs w:val="24"/>
          <w:lang w:val="bg-BG"/>
        </w:rPr>
        <w:t xml:space="preserve">страницата </w:t>
      </w:r>
      <w:r w:rsidR="005E2578" w:rsidRPr="00A67174">
        <w:rPr>
          <w:sz w:val="24"/>
          <w:szCs w:val="24"/>
          <w:lang w:val="bg-BG"/>
        </w:rPr>
        <w:t xml:space="preserve">на Националния статистически институт: </w:t>
      </w:r>
      <w:r w:rsidR="004D5EAB">
        <w:rPr>
          <w:i/>
          <w:color w:val="0000FF"/>
          <w:sz w:val="24"/>
          <w:szCs w:val="24"/>
          <w:lang w:val="bg-BG"/>
        </w:rPr>
        <w:t>http://www.nsi.bg,</w:t>
      </w:r>
      <w:r w:rsidR="005E2578" w:rsidRPr="00A67174">
        <w:rPr>
          <w:i/>
          <w:color w:val="000000"/>
          <w:sz w:val="24"/>
          <w:szCs w:val="24"/>
          <w:lang w:val="bg-BG"/>
        </w:rPr>
        <w:t xml:space="preserve"> </w:t>
      </w:r>
      <w:r w:rsidR="005E2578" w:rsidRPr="00A67174">
        <w:rPr>
          <w:color w:val="000000"/>
          <w:sz w:val="24"/>
          <w:szCs w:val="24"/>
          <w:lang w:val="bg-BG"/>
        </w:rPr>
        <w:t>е</w:t>
      </w:r>
      <w:r w:rsidR="0061313F" w:rsidRPr="00A67174">
        <w:rPr>
          <w:b/>
          <w:color w:val="000000"/>
          <w:sz w:val="24"/>
          <w:szCs w:val="24"/>
          <w:lang w:val="bg-BG"/>
        </w:rPr>
        <w:t xml:space="preserve"> </w:t>
      </w:r>
      <w:r>
        <w:rPr>
          <w:b/>
          <w:color w:val="000000"/>
          <w:sz w:val="24"/>
          <w:szCs w:val="24"/>
          <w:lang w:val="bg-BG"/>
        </w:rPr>
        <w:t>3</w:t>
      </w:r>
      <w:r w:rsidR="002570EB">
        <w:rPr>
          <w:b/>
          <w:color w:val="000000"/>
          <w:sz w:val="24"/>
          <w:szCs w:val="24"/>
          <w:lang w:val="bg-BG"/>
        </w:rPr>
        <w:t>8</w:t>
      </w:r>
      <w:r w:rsidR="004D5EAB">
        <w:rPr>
          <w:b/>
          <w:color w:val="000000"/>
          <w:sz w:val="24"/>
          <w:szCs w:val="24"/>
          <w:lang w:val="bg-BG"/>
        </w:rPr>
        <w:t> 179.00</w:t>
      </w:r>
      <w:r w:rsidR="00DE105C">
        <w:rPr>
          <w:b/>
          <w:color w:val="000000"/>
          <w:sz w:val="24"/>
          <w:szCs w:val="24"/>
          <w:lang w:val="bg-BG"/>
        </w:rPr>
        <w:t xml:space="preserve"> лв.</w:t>
      </w:r>
    </w:p>
    <w:p w14:paraId="7ECB7763" w14:textId="77777777"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14:paraId="5EB006E7" w14:textId="5F6BC3D2" w:rsidR="00F811D3" w:rsidRPr="004257A2" w:rsidRDefault="00727E45" w:rsidP="005E2578">
      <w:pPr>
        <w:ind w:right="68"/>
        <w:jc w:val="both"/>
        <w:rPr>
          <w:b/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Следователно  максимал</w:t>
      </w:r>
      <w:r w:rsidR="005E2578" w:rsidRPr="004257A2">
        <w:rPr>
          <w:sz w:val="24"/>
          <w:szCs w:val="24"/>
          <w:lang w:val="bg-BG"/>
        </w:rPr>
        <w:t>ният</w:t>
      </w:r>
      <w:r w:rsidR="00EE64A3" w:rsidRPr="004257A2">
        <w:rPr>
          <w:sz w:val="24"/>
          <w:szCs w:val="24"/>
          <w:lang w:val="bg-BG"/>
        </w:rPr>
        <w:t xml:space="preserve">  размер  на </w:t>
      </w:r>
      <w:r w:rsidR="00DD1CE0">
        <w:rPr>
          <w:sz w:val="24"/>
          <w:szCs w:val="24"/>
          <w:lang w:val="bg-BG"/>
        </w:rPr>
        <w:t>брутната</w:t>
      </w:r>
      <w:r w:rsidR="007D222E">
        <w:rPr>
          <w:sz w:val="24"/>
          <w:szCs w:val="24"/>
          <w:lang w:val="bg-BG"/>
        </w:rPr>
        <w:t xml:space="preserve"> </w:t>
      </w:r>
      <w:r w:rsidR="00DD1CE0">
        <w:rPr>
          <w:sz w:val="24"/>
          <w:szCs w:val="24"/>
          <w:lang w:val="bg-BG"/>
        </w:rPr>
        <w:t xml:space="preserve">работна заплата </w:t>
      </w:r>
      <w:r w:rsidR="005E2578" w:rsidRPr="004257A2">
        <w:rPr>
          <w:sz w:val="24"/>
          <w:szCs w:val="24"/>
          <w:lang w:val="bg-BG"/>
        </w:rPr>
        <w:t xml:space="preserve">по  трудово  правоотношение  на служителите,  наети </w:t>
      </w:r>
      <w:r w:rsidR="007D222E">
        <w:rPr>
          <w:sz w:val="24"/>
          <w:szCs w:val="24"/>
          <w:lang w:val="bg-BG"/>
        </w:rPr>
        <w:t>на</w:t>
      </w:r>
      <w:r w:rsidR="005E2578" w:rsidRPr="004257A2">
        <w:rPr>
          <w:sz w:val="24"/>
          <w:szCs w:val="24"/>
          <w:lang w:val="bg-BG"/>
        </w:rPr>
        <w:t xml:space="preserve"> </w:t>
      </w:r>
      <w:r w:rsidR="00DD1CE0">
        <w:rPr>
          <w:sz w:val="24"/>
          <w:szCs w:val="24"/>
          <w:lang w:val="bg-BG"/>
        </w:rPr>
        <w:t xml:space="preserve">8 часов </w:t>
      </w:r>
      <w:r w:rsidR="007D222E">
        <w:rPr>
          <w:sz w:val="24"/>
          <w:szCs w:val="24"/>
          <w:lang w:val="bg-BG"/>
        </w:rPr>
        <w:t>работен ден</w:t>
      </w:r>
      <w:r w:rsidR="007D222E" w:rsidRPr="004257A2">
        <w:rPr>
          <w:sz w:val="24"/>
          <w:szCs w:val="24"/>
          <w:lang w:val="bg-BG"/>
        </w:rPr>
        <w:t xml:space="preserve"> </w:t>
      </w:r>
      <w:r w:rsidR="005E2578" w:rsidRPr="004257A2">
        <w:rPr>
          <w:sz w:val="24"/>
          <w:szCs w:val="24"/>
          <w:lang w:val="bg-BG"/>
        </w:rPr>
        <w:t>във  връзка  с</w:t>
      </w:r>
      <w:r w:rsidRPr="004257A2">
        <w:rPr>
          <w:sz w:val="24"/>
          <w:szCs w:val="24"/>
          <w:lang w:val="bg-BG"/>
        </w:rPr>
        <w:t xml:space="preserve">  изпълнението  на  проект, по настоящата процедура,</w:t>
      </w:r>
      <w:r w:rsidR="007D222E">
        <w:rPr>
          <w:sz w:val="24"/>
          <w:szCs w:val="24"/>
          <w:lang w:val="bg-BG"/>
        </w:rPr>
        <w:t xml:space="preserve"> </w:t>
      </w:r>
      <w:r w:rsidR="005E2578" w:rsidRPr="004257A2">
        <w:rPr>
          <w:sz w:val="24"/>
          <w:szCs w:val="24"/>
          <w:lang w:val="bg-BG"/>
        </w:rPr>
        <w:t>попадащи в о</w:t>
      </w:r>
      <w:r w:rsidR="00DE105C">
        <w:rPr>
          <w:sz w:val="24"/>
          <w:szCs w:val="24"/>
          <w:lang w:val="bg-BG"/>
        </w:rPr>
        <w:t xml:space="preserve">бхвата на Икономическа дейност </w:t>
      </w:r>
      <w:r w:rsidR="005E2578" w:rsidRPr="004257A2">
        <w:rPr>
          <w:sz w:val="24"/>
          <w:szCs w:val="24"/>
          <w:lang w:val="bg-BG"/>
        </w:rPr>
        <w:t>„</w:t>
      </w:r>
      <w:r w:rsidR="00932AFA" w:rsidRPr="00932AFA">
        <w:rPr>
          <w:sz w:val="24"/>
          <w:szCs w:val="24"/>
          <w:lang w:val="bg-BG"/>
        </w:rPr>
        <w:t>Професионалн</w:t>
      </w:r>
      <w:r w:rsidR="006D0E97">
        <w:rPr>
          <w:sz w:val="24"/>
          <w:szCs w:val="24"/>
          <w:lang w:val="bg-BG"/>
        </w:rPr>
        <w:t>и дейности и научни изследвания</w:t>
      </w:r>
      <w:r w:rsidR="005E2578" w:rsidRPr="004257A2">
        <w:rPr>
          <w:sz w:val="24"/>
          <w:szCs w:val="24"/>
          <w:lang w:val="bg-BG"/>
        </w:rPr>
        <w:t xml:space="preserve">”, ще бъде </w:t>
      </w:r>
      <w:r w:rsidR="00D345E9">
        <w:rPr>
          <w:b/>
          <w:sz w:val="24"/>
          <w:szCs w:val="24"/>
          <w:lang w:val="bg-BG"/>
        </w:rPr>
        <w:t>3</w:t>
      </w:r>
      <w:r w:rsidR="004D5EAB">
        <w:rPr>
          <w:b/>
          <w:sz w:val="24"/>
          <w:szCs w:val="24"/>
          <w:lang w:val="bg-BG"/>
        </w:rPr>
        <w:t> </w:t>
      </w:r>
      <w:r w:rsidR="00D345E9">
        <w:rPr>
          <w:b/>
          <w:sz w:val="24"/>
          <w:szCs w:val="24"/>
          <w:lang w:val="bg-BG"/>
        </w:rPr>
        <w:t>1</w:t>
      </w:r>
      <w:r w:rsidR="004D5EAB">
        <w:rPr>
          <w:b/>
          <w:sz w:val="24"/>
          <w:szCs w:val="24"/>
          <w:lang w:val="bg-BG"/>
        </w:rPr>
        <w:t>81.58</w:t>
      </w:r>
      <w:r w:rsidR="00DD1CE0">
        <w:rPr>
          <w:sz w:val="24"/>
          <w:szCs w:val="24"/>
          <w:lang w:val="bg-BG"/>
        </w:rPr>
        <w:t xml:space="preserve"> </w:t>
      </w:r>
      <w:r w:rsidR="00DD1CE0" w:rsidRPr="00DE105C">
        <w:rPr>
          <w:b/>
          <w:sz w:val="24"/>
          <w:szCs w:val="24"/>
          <w:lang w:val="bg-BG"/>
        </w:rPr>
        <w:t>л</w:t>
      </w:r>
      <w:r w:rsidR="00DE105C" w:rsidRPr="00DE105C">
        <w:rPr>
          <w:b/>
          <w:sz w:val="24"/>
          <w:szCs w:val="24"/>
          <w:lang w:val="bg-BG"/>
        </w:rPr>
        <w:t>в.</w:t>
      </w:r>
      <w:r w:rsidR="00DD1CE0">
        <w:rPr>
          <w:sz w:val="24"/>
          <w:szCs w:val="24"/>
          <w:lang w:val="bg-BG"/>
        </w:rPr>
        <w:t xml:space="preserve"> на месец, </w:t>
      </w:r>
      <w:r w:rsidR="005E2578" w:rsidRPr="004257A2">
        <w:rPr>
          <w:sz w:val="24"/>
          <w:szCs w:val="24"/>
          <w:lang w:val="bg-BG"/>
        </w:rPr>
        <w:t>съответно по</w:t>
      </w:r>
      <w:r w:rsidR="00B72FC6" w:rsidRPr="004257A2">
        <w:rPr>
          <w:sz w:val="24"/>
          <w:szCs w:val="24"/>
          <w:lang w:val="bg-BG"/>
        </w:rPr>
        <w:t xml:space="preserve"> </w:t>
      </w:r>
      <w:r w:rsidR="00D345E9">
        <w:rPr>
          <w:b/>
          <w:sz w:val="24"/>
          <w:szCs w:val="24"/>
          <w:lang w:val="bg-BG"/>
        </w:rPr>
        <w:t>1</w:t>
      </w:r>
      <w:r w:rsidR="004D5EAB">
        <w:rPr>
          <w:b/>
          <w:sz w:val="24"/>
          <w:szCs w:val="24"/>
          <w:lang w:val="bg-BG"/>
        </w:rPr>
        <w:t>51</w:t>
      </w:r>
      <w:r w:rsidR="00D345E9">
        <w:rPr>
          <w:b/>
          <w:sz w:val="24"/>
          <w:szCs w:val="24"/>
          <w:lang w:val="bg-BG"/>
        </w:rPr>
        <w:t>.</w:t>
      </w:r>
      <w:r w:rsidR="004D5EAB">
        <w:rPr>
          <w:b/>
          <w:sz w:val="24"/>
          <w:szCs w:val="24"/>
          <w:lang w:val="bg-BG"/>
        </w:rPr>
        <w:t>50</w:t>
      </w:r>
      <w:r w:rsidR="005E2578" w:rsidRPr="004257A2">
        <w:rPr>
          <w:b/>
          <w:sz w:val="24"/>
          <w:szCs w:val="24"/>
          <w:lang w:val="bg-BG"/>
        </w:rPr>
        <w:t xml:space="preserve"> лв</w:t>
      </w:r>
      <w:r w:rsidR="005E2578" w:rsidRPr="004257A2">
        <w:rPr>
          <w:sz w:val="24"/>
          <w:szCs w:val="24"/>
          <w:lang w:val="bg-BG"/>
        </w:rPr>
        <w:t xml:space="preserve">. за ден и </w:t>
      </w:r>
      <w:r w:rsidR="00406D34">
        <w:rPr>
          <w:b/>
          <w:sz w:val="24"/>
          <w:szCs w:val="24"/>
          <w:lang w:val="bg-BG"/>
        </w:rPr>
        <w:t>1</w:t>
      </w:r>
      <w:r w:rsidR="00D345E9">
        <w:rPr>
          <w:b/>
          <w:sz w:val="24"/>
          <w:szCs w:val="24"/>
          <w:lang w:val="bg-BG"/>
        </w:rPr>
        <w:t>8</w:t>
      </w:r>
      <w:r w:rsidR="00406D34">
        <w:rPr>
          <w:b/>
          <w:sz w:val="24"/>
          <w:szCs w:val="24"/>
          <w:lang w:val="bg-BG"/>
        </w:rPr>
        <w:t>.</w:t>
      </w:r>
      <w:r w:rsidR="004D5EAB">
        <w:rPr>
          <w:b/>
          <w:sz w:val="24"/>
          <w:szCs w:val="24"/>
          <w:lang w:val="bg-BG"/>
        </w:rPr>
        <w:t>94</w:t>
      </w:r>
      <w:r w:rsidR="00932AFA">
        <w:rPr>
          <w:b/>
          <w:sz w:val="24"/>
          <w:szCs w:val="24"/>
          <w:lang w:val="bg-BG"/>
        </w:rPr>
        <w:t xml:space="preserve"> </w:t>
      </w:r>
      <w:r w:rsidR="005E2578" w:rsidRPr="004257A2">
        <w:rPr>
          <w:b/>
          <w:sz w:val="24"/>
          <w:szCs w:val="24"/>
          <w:lang w:val="bg-BG"/>
        </w:rPr>
        <w:t>лв. на час.</w:t>
      </w:r>
    </w:p>
    <w:p w14:paraId="2205A22A" w14:textId="77777777" w:rsidR="000E415F" w:rsidRPr="00D80FE5" w:rsidRDefault="000E415F" w:rsidP="005E2578">
      <w:pPr>
        <w:spacing w:before="72"/>
        <w:ind w:right="70"/>
        <w:jc w:val="both"/>
        <w:rPr>
          <w:sz w:val="24"/>
          <w:szCs w:val="24"/>
          <w:lang w:val="bg-BG"/>
        </w:rPr>
      </w:pPr>
    </w:p>
    <w:p w14:paraId="4D2ADB5B" w14:textId="77777777" w:rsidR="00A912D8" w:rsidRPr="00D80FE5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tbl>
      <w:tblPr>
        <w:tblStyle w:val="TableGrid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912"/>
      </w:tblGrid>
      <w:tr w:rsidR="005E2578" w14:paraId="66304988" w14:textId="77777777" w:rsidTr="00755C82">
        <w:tc>
          <w:tcPr>
            <w:tcW w:w="9912" w:type="dxa"/>
            <w:shd w:val="clear" w:color="auto" w:fill="EAF1DD" w:themeFill="accent3" w:themeFillTint="33"/>
          </w:tcPr>
          <w:p w14:paraId="002E1172" w14:textId="77777777" w:rsidR="005E2578" w:rsidRDefault="005E2578" w:rsidP="005E2578">
            <w:pPr>
              <w:spacing w:before="29"/>
              <w:ind w:right="286"/>
              <w:jc w:val="both"/>
              <w:rPr>
                <w:b/>
                <w:sz w:val="24"/>
                <w:szCs w:val="24"/>
                <w:lang w:val="bg-BG"/>
              </w:rPr>
            </w:pPr>
            <w:r w:rsidRPr="00D80FE5">
              <w:rPr>
                <w:b/>
                <w:sz w:val="24"/>
                <w:szCs w:val="24"/>
                <w:lang w:val="bg-BG"/>
              </w:rPr>
              <w:t xml:space="preserve">ВАЖНО: </w:t>
            </w:r>
          </w:p>
          <w:p w14:paraId="025FFEA9" w14:textId="77777777" w:rsidR="007A15D9" w:rsidRDefault="005E2578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1. 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Спазването на разпоредбите на </w:t>
            </w:r>
            <w:r w:rsidR="00C713C2">
              <w:rPr>
                <w:b/>
                <w:sz w:val="24"/>
                <w:szCs w:val="24"/>
                <w:lang w:val="bg-BG"/>
              </w:rPr>
              <w:t>Раздел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 III от настоящата </w:t>
            </w:r>
            <w:r>
              <w:rPr>
                <w:b/>
                <w:sz w:val="24"/>
                <w:szCs w:val="24"/>
                <w:lang w:val="bg-BG"/>
              </w:rPr>
              <w:t>м</w:t>
            </w:r>
            <w:r w:rsidRPr="00D80FE5">
              <w:rPr>
                <w:b/>
                <w:sz w:val="24"/>
                <w:szCs w:val="24"/>
                <w:lang w:val="bg-BG"/>
              </w:rPr>
              <w:t>етодология подлежи на</w:t>
            </w:r>
            <w:r w:rsidR="00C713C2"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b/>
                <w:sz w:val="24"/>
                <w:szCs w:val="24"/>
                <w:lang w:val="bg-BG"/>
              </w:rPr>
              <w:t>п</w:t>
            </w:r>
            <w:r w:rsidRPr="00D80FE5">
              <w:rPr>
                <w:b/>
                <w:sz w:val="24"/>
                <w:szCs w:val="24"/>
                <w:lang w:val="bg-BG"/>
              </w:rPr>
              <w:t>роверка от страна на УО</w:t>
            </w:r>
            <w:r>
              <w:rPr>
                <w:b/>
                <w:sz w:val="24"/>
                <w:szCs w:val="24"/>
                <w:lang w:val="bg-BG"/>
              </w:rPr>
              <w:t xml:space="preserve"> на ПРСР и ДФ „Земеделие“.</w:t>
            </w:r>
          </w:p>
          <w:p w14:paraId="37B94E5F" w14:textId="77777777"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14:paraId="5B006478" w14:textId="2BA6A39B"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2. Към момента на одобрение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 на </w:t>
            </w:r>
            <w:r w:rsidR="00D345E9">
              <w:rPr>
                <w:b/>
                <w:sz w:val="24"/>
                <w:szCs w:val="24"/>
                <w:lang w:val="bg-BG"/>
              </w:rPr>
              <w:t>заявлението за подпомагане</w:t>
            </w:r>
            <w:r>
              <w:rPr>
                <w:b/>
                <w:sz w:val="24"/>
                <w:szCs w:val="24"/>
                <w:lang w:val="bg-BG"/>
              </w:rPr>
              <w:t xml:space="preserve">, УО определя </w:t>
            </w:r>
            <w:r>
              <w:rPr>
                <w:b/>
                <w:sz w:val="24"/>
                <w:szCs w:val="24"/>
                <w:lang w:val="bg-BG"/>
              </w:rPr>
              <w:lastRenderedPageBreak/>
              <w:t xml:space="preserve">максималния размер на допустимите разходи 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за възнаграждения </w:t>
            </w:r>
            <w:r>
              <w:rPr>
                <w:b/>
                <w:sz w:val="24"/>
                <w:szCs w:val="24"/>
                <w:lang w:val="bg-BG"/>
              </w:rPr>
              <w:t xml:space="preserve">въз основа на механизма, посочен в Раздел </w:t>
            </w:r>
            <w:r>
              <w:rPr>
                <w:b/>
                <w:sz w:val="24"/>
                <w:szCs w:val="24"/>
              </w:rPr>
              <w:t>III,</w:t>
            </w:r>
            <w:r>
              <w:rPr>
                <w:b/>
                <w:sz w:val="24"/>
                <w:szCs w:val="24"/>
                <w:lang w:val="bg-BG"/>
              </w:rPr>
              <w:t xml:space="preserve"> т. 1. </w:t>
            </w:r>
          </w:p>
          <w:p w14:paraId="66F6C184" w14:textId="77777777" w:rsidR="00AB391A" w:rsidRDefault="00AB391A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14:paraId="391B44EF" w14:textId="6E0F4B26" w:rsidR="005E2578" w:rsidRDefault="00AB391A" w:rsidP="00D345E9">
            <w:pPr>
              <w:spacing w:before="29"/>
              <w:ind w:right="23"/>
              <w:contextualSpacing/>
              <w:jc w:val="both"/>
              <w:rPr>
                <w:sz w:val="28"/>
                <w:szCs w:val="28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3. </w:t>
            </w:r>
            <w:r w:rsidR="00987CF8" w:rsidRPr="00987CF8">
              <w:rPr>
                <w:b/>
                <w:sz w:val="24"/>
                <w:szCs w:val="24"/>
                <w:lang w:val="bg-BG"/>
              </w:rPr>
              <w:t xml:space="preserve">При мотивирано искане за промяна на административния договор до УО на </w:t>
            </w:r>
            <w:r w:rsidR="00D345E9">
              <w:rPr>
                <w:b/>
                <w:sz w:val="24"/>
                <w:szCs w:val="24"/>
                <w:lang w:val="bg-BG"/>
              </w:rPr>
              <w:t>СПРЗСР 2023-2027 г</w:t>
            </w:r>
            <w:r w:rsidR="00987CF8" w:rsidRPr="00987CF8">
              <w:rPr>
                <w:b/>
                <w:sz w:val="24"/>
                <w:szCs w:val="24"/>
                <w:lang w:val="bg-BG"/>
              </w:rPr>
              <w:t xml:space="preserve">., отнасящо се до размера на възнагражденията </w:t>
            </w:r>
            <w:r w:rsidR="00D345E9">
              <w:rPr>
                <w:b/>
                <w:sz w:val="24"/>
                <w:szCs w:val="24"/>
                <w:lang w:val="bg-BG"/>
              </w:rPr>
              <w:t>за лицата по т. 3 от Раздел 12</w:t>
            </w:r>
            <w:r w:rsidR="00987CF8" w:rsidRPr="00987CF8">
              <w:rPr>
                <w:b/>
                <w:sz w:val="24"/>
                <w:szCs w:val="24"/>
                <w:lang w:val="bg-BG"/>
              </w:rPr>
              <w:t xml:space="preserve"> „Допустими разходи“ на Условията за кандидатстване, се вземат актуални данни от Националния статистически институт, като това не води до увеличение на общата стойност на финансовата помощ по проекта.</w:t>
            </w:r>
          </w:p>
        </w:tc>
      </w:tr>
    </w:tbl>
    <w:p w14:paraId="6581D5E6" w14:textId="77777777" w:rsidR="00F811D3" w:rsidRPr="00D80FE5" w:rsidRDefault="00F811D3" w:rsidP="005E2578">
      <w:pPr>
        <w:rPr>
          <w:lang w:val="bg-BG"/>
        </w:rPr>
      </w:pPr>
    </w:p>
    <w:p w14:paraId="40F7BD2F" w14:textId="77777777" w:rsidR="00F811D3" w:rsidRPr="00D80FE5" w:rsidRDefault="00F811D3" w:rsidP="005E2578">
      <w:pPr>
        <w:rPr>
          <w:lang w:val="bg-BG"/>
        </w:rPr>
      </w:pPr>
    </w:p>
    <w:p w14:paraId="7B218BBD" w14:textId="5844AAFD" w:rsidR="00F811D3" w:rsidRPr="00D80FE5" w:rsidRDefault="007B0722" w:rsidP="008708F0">
      <w:pPr>
        <w:spacing w:before="2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</w:rPr>
        <w:t>I</w:t>
      </w:r>
      <w:r w:rsidR="007D6BCD">
        <w:rPr>
          <w:b/>
          <w:sz w:val="24"/>
          <w:szCs w:val="24"/>
        </w:rPr>
        <w:t>V</w:t>
      </w:r>
      <w:r w:rsidR="005E2578" w:rsidRPr="00D80FE5">
        <w:rPr>
          <w:b/>
          <w:sz w:val="24"/>
          <w:szCs w:val="24"/>
          <w:lang w:val="bg-BG"/>
        </w:rPr>
        <w:t xml:space="preserve">.   </w:t>
      </w:r>
      <w:r w:rsidR="005E2578">
        <w:rPr>
          <w:b/>
          <w:sz w:val="24"/>
          <w:szCs w:val="24"/>
          <w:lang w:val="bg-BG"/>
        </w:rPr>
        <w:t xml:space="preserve">Изплащане </w:t>
      </w:r>
      <w:r w:rsidR="005E2578" w:rsidRPr="00D80FE5">
        <w:rPr>
          <w:b/>
          <w:sz w:val="24"/>
          <w:szCs w:val="24"/>
          <w:lang w:val="bg-BG"/>
        </w:rPr>
        <w:t>на   разход</w:t>
      </w:r>
      <w:r w:rsidR="005E2578">
        <w:rPr>
          <w:b/>
          <w:sz w:val="24"/>
          <w:szCs w:val="24"/>
          <w:lang w:val="bg-BG"/>
        </w:rPr>
        <w:t>ите   за   възнаграждения   п</w:t>
      </w:r>
      <w:r w:rsidR="00D345E9">
        <w:rPr>
          <w:b/>
          <w:sz w:val="24"/>
          <w:szCs w:val="24"/>
          <w:lang w:val="bg-BG"/>
        </w:rPr>
        <w:t xml:space="preserve">о одобрени проекти по процедура </w:t>
      </w:r>
      <w:r w:rsidR="00D345E9" w:rsidRPr="00D345E9">
        <w:rPr>
          <w:b/>
          <w:sz w:val="24"/>
          <w:szCs w:val="24"/>
          <w:lang w:val="bg-BG"/>
        </w:rPr>
        <w:t>„Подкрепа за разширяване на капацитета за предоставяне на съветнически услуги“</w:t>
      </w:r>
      <w:r w:rsidR="00D345E9">
        <w:rPr>
          <w:b/>
          <w:sz w:val="24"/>
          <w:szCs w:val="24"/>
          <w:lang w:val="bg-BG"/>
        </w:rPr>
        <w:t xml:space="preserve"> </w:t>
      </w:r>
      <w:r w:rsidR="00D345E9" w:rsidRPr="00D345E9">
        <w:rPr>
          <w:rFonts w:eastAsiaTheme="majorEastAsia"/>
          <w:b/>
          <w:bCs/>
          <w:sz w:val="24"/>
          <w:szCs w:val="28"/>
          <w:lang w:val="bg-BG"/>
        </w:rPr>
        <w:t xml:space="preserve">по интервенция II.И.1 - „Консултантски услуги и повишаване на консултантския капацитет“ от СПРЗСР 2023 – 2027 г.  </w:t>
      </w:r>
    </w:p>
    <w:p w14:paraId="50FABF6E" w14:textId="77777777" w:rsidR="00F811D3" w:rsidRPr="00D80FE5" w:rsidRDefault="00F811D3" w:rsidP="005E2578">
      <w:pPr>
        <w:spacing w:before="16"/>
        <w:rPr>
          <w:sz w:val="26"/>
          <w:szCs w:val="26"/>
          <w:lang w:val="bg-BG"/>
        </w:rPr>
      </w:pPr>
    </w:p>
    <w:p w14:paraId="3E8EBCD9" w14:textId="62AF73EC" w:rsidR="00F811D3" w:rsidRPr="00A67174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Във връзка с постигането на икономичност, ефективност и ефикасност при разходването на средствата по </w:t>
      </w:r>
      <w:r>
        <w:rPr>
          <w:sz w:val="24"/>
          <w:szCs w:val="24"/>
          <w:lang w:val="bg-BG"/>
        </w:rPr>
        <w:t xml:space="preserve">процедура </w:t>
      </w:r>
      <w:r w:rsidR="00D345E9" w:rsidRPr="00CF541B">
        <w:rPr>
          <w:rFonts w:eastAsiaTheme="majorEastAsia"/>
          <w:bCs/>
          <w:sz w:val="24"/>
          <w:szCs w:val="28"/>
          <w:lang w:val="bg-BG"/>
        </w:rPr>
        <w:t>„Подкрепа за разширяване на капацитета за предоставяне на съветнически услуги“ по интервенция II.И.1 - „Консултантски услуги и повишаване на консултантския капацитет“ от СПРЗСР 2023 – 2027 г.</w:t>
      </w:r>
      <w:r w:rsidRPr="00CF541B">
        <w:rPr>
          <w:rFonts w:eastAsiaTheme="majorEastAsia"/>
          <w:bCs/>
          <w:sz w:val="24"/>
          <w:szCs w:val="28"/>
          <w:lang w:val="bg-BG"/>
        </w:rPr>
        <w:t>,</w:t>
      </w:r>
      <w:r w:rsidRPr="00E26113">
        <w:rPr>
          <w:sz w:val="24"/>
          <w:szCs w:val="24"/>
          <w:lang w:val="bg-BG"/>
        </w:rPr>
        <w:t xml:space="preserve"> при изплащане на разходите за възнаграждения</w:t>
      </w:r>
      <w:r w:rsidRPr="00D80FE5">
        <w:rPr>
          <w:sz w:val="24"/>
          <w:szCs w:val="24"/>
          <w:lang w:val="bg-BG"/>
        </w:rPr>
        <w:t xml:space="preserve"> </w:t>
      </w:r>
      <w:r w:rsidR="00F12B7A">
        <w:rPr>
          <w:sz w:val="24"/>
          <w:szCs w:val="24"/>
          <w:lang w:val="bg-BG"/>
        </w:rPr>
        <w:t xml:space="preserve">за </w:t>
      </w:r>
      <w:r w:rsidR="008C25EA">
        <w:rPr>
          <w:sz w:val="24"/>
          <w:szCs w:val="24"/>
          <w:lang w:val="bg-BG"/>
        </w:rPr>
        <w:t xml:space="preserve">служителите в мобилните общински </w:t>
      </w:r>
      <w:r w:rsidR="008C25EA" w:rsidRPr="00A67174">
        <w:rPr>
          <w:sz w:val="24"/>
          <w:szCs w:val="24"/>
          <w:lang w:val="bg-BG"/>
        </w:rPr>
        <w:t>офиси и координаторите на регионално и централно ниво</w:t>
      </w:r>
      <w:r w:rsidRPr="00A67174">
        <w:rPr>
          <w:sz w:val="24"/>
          <w:szCs w:val="24"/>
          <w:lang w:val="bg-BG"/>
        </w:rPr>
        <w:t>,  ще  се съблюдава  стриктното  спазване  на  следните условия:</w:t>
      </w:r>
    </w:p>
    <w:p w14:paraId="04EF9B2A" w14:textId="77777777" w:rsidR="00F811D3" w:rsidRPr="00A67174" w:rsidRDefault="00F811D3" w:rsidP="005E2578">
      <w:pPr>
        <w:spacing w:before="1"/>
        <w:rPr>
          <w:sz w:val="12"/>
          <w:szCs w:val="12"/>
          <w:lang w:val="bg-BG"/>
        </w:rPr>
      </w:pPr>
    </w:p>
    <w:p w14:paraId="2E66EA8E" w14:textId="6C247B7D" w:rsidR="00F811D3" w:rsidRPr="001D661C" w:rsidRDefault="00D345E9" w:rsidP="005E2578">
      <w:pPr>
        <w:pStyle w:val="ListParagraph"/>
        <w:numPr>
          <w:ilvl w:val="0"/>
          <w:numId w:val="6"/>
        </w:numPr>
        <w:spacing w:after="120"/>
        <w:ind w:left="714" w:right="68" w:hanging="357"/>
        <w:contextualSpacing w:val="0"/>
        <w:jc w:val="both"/>
        <w:rPr>
          <w:sz w:val="24"/>
          <w:szCs w:val="24"/>
        </w:rPr>
      </w:pPr>
      <w:r w:rsidRPr="00F12B7A">
        <w:rPr>
          <w:sz w:val="24"/>
          <w:szCs w:val="24"/>
          <w:lang w:val="bg-BG"/>
        </w:rPr>
        <w:t xml:space="preserve">Заявените за възстановяване </w:t>
      </w:r>
      <w:r w:rsidR="005E2578" w:rsidRPr="00F12B7A">
        <w:rPr>
          <w:sz w:val="24"/>
          <w:szCs w:val="24"/>
          <w:lang w:val="bg-BG"/>
        </w:rPr>
        <w:t xml:space="preserve">възнаграждения </w:t>
      </w:r>
      <w:r w:rsidR="00F12B7A">
        <w:rPr>
          <w:sz w:val="24"/>
          <w:szCs w:val="24"/>
          <w:lang w:val="bg-BG"/>
        </w:rPr>
        <w:t xml:space="preserve">да бъдат </w:t>
      </w:r>
      <w:r w:rsidR="005E2578" w:rsidRPr="00F12B7A">
        <w:rPr>
          <w:sz w:val="24"/>
          <w:szCs w:val="24"/>
          <w:lang w:val="bg-BG"/>
        </w:rPr>
        <w:t xml:space="preserve">базирани  на  </w:t>
      </w:r>
      <w:r w:rsidRPr="00F12B7A">
        <w:rPr>
          <w:sz w:val="24"/>
          <w:szCs w:val="24"/>
          <w:lang w:val="bg-BG"/>
        </w:rPr>
        <w:t>средния размер</w:t>
      </w:r>
      <w:r w:rsidR="008C25EA" w:rsidRPr="00F12B7A">
        <w:rPr>
          <w:sz w:val="24"/>
          <w:szCs w:val="24"/>
          <w:lang w:val="bg-BG"/>
        </w:rPr>
        <w:t xml:space="preserve"> на </w:t>
      </w:r>
      <w:r w:rsidR="0022361C" w:rsidRPr="00F12B7A">
        <w:rPr>
          <w:sz w:val="24"/>
          <w:szCs w:val="24"/>
          <w:lang w:val="bg-BG"/>
        </w:rPr>
        <w:t xml:space="preserve">брутните </w:t>
      </w:r>
      <w:r w:rsidR="008C25EA" w:rsidRPr="00F12B7A">
        <w:rPr>
          <w:sz w:val="24"/>
          <w:szCs w:val="24"/>
          <w:lang w:val="bg-BG"/>
        </w:rPr>
        <w:t>работни заплати</w:t>
      </w:r>
      <w:r w:rsidR="005E2578" w:rsidRPr="00F12B7A">
        <w:rPr>
          <w:sz w:val="24"/>
          <w:szCs w:val="24"/>
          <w:lang w:val="bg-BG"/>
        </w:rPr>
        <w:t>,  изчислени  по механизма по т. ІІІ от настоящия документ</w:t>
      </w:r>
      <w:r w:rsidR="0022361C" w:rsidRPr="00F12B7A">
        <w:rPr>
          <w:sz w:val="24"/>
          <w:szCs w:val="24"/>
          <w:lang w:val="bg-BG"/>
        </w:rPr>
        <w:t xml:space="preserve"> и начислените за тях задължителни оси</w:t>
      </w:r>
      <w:r w:rsidR="00505A17">
        <w:rPr>
          <w:sz w:val="24"/>
          <w:szCs w:val="24"/>
          <w:lang w:val="bg-BG"/>
        </w:rPr>
        <w:t xml:space="preserve">гурителни вноски съгласно КСО, </w:t>
      </w:r>
      <w:r w:rsidR="0022361C" w:rsidRPr="00F12B7A">
        <w:rPr>
          <w:sz w:val="24"/>
          <w:szCs w:val="24"/>
          <w:lang w:val="bg-BG"/>
        </w:rPr>
        <w:t xml:space="preserve">ЗО </w:t>
      </w:r>
      <w:r w:rsidR="00505A17" w:rsidRPr="00505A17">
        <w:rPr>
          <w:color w:val="000000" w:themeColor="text1"/>
          <w:sz w:val="24"/>
          <w:szCs w:val="24"/>
          <w:lang w:val="bg-BG"/>
        </w:rPr>
        <w:t xml:space="preserve">и парични обезщетения за временна нетрудоспособност за сметка </w:t>
      </w:r>
      <w:r w:rsidR="0022361C" w:rsidRPr="00F12B7A">
        <w:rPr>
          <w:sz w:val="24"/>
          <w:szCs w:val="24"/>
          <w:lang w:val="bg-BG"/>
        </w:rPr>
        <w:t>на работодател</w:t>
      </w:r>
      <w:r w:rsidR="001D661C">
        <w:rPr>
          <w:sz w:val="24"/>
          <w:szCs w:val="24"/>
          <w:lang w:val="bg-BG"/>
        </w:rPr>
        <w:t>.</w:t>
      </w:r>
    </w:p>
    <w:p w14:paraId="6F580062" w14:textId="14E29B92" w:rsidR="00E04DBD" w:rsidRDefault="00EA1569" w:rsidP="008C25EA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</w:p>
    <w:sectPr w:rsidR="00E04DBD" w:rsidSect="00E04DBD">
      <w:footerReference w:type="default" r:id="rId9"/>
      <w:pgSz w:w="11920" w:h="16840"/>
      <w:pgMar w:top="1460" w:right="880" w:bottom="280" w:left="1160" w:header="0" w:footer="822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9981E" w16cex:dateUtc="2021-01-13T14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ED6B6B" w16cid:durableId="23A9981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49DB5" w14:textId="77777777" w:rsidR="00F46696" w:rsidRDefault="00F46696">
      <w:r>
        <w:separator/>
      </w:r>
    </w:p>
  </w:endnote>
  <w:endnote w:type="continuationSeparator" w:id="0">
    <w:p w14:paraId="150AE50E" w14:textId="77777777" w:rsidR="00F46696" w:rsidRDefault="00F4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D474A" w14:textId="4FAA0840" w:rsidR="005E2578" w:rsidRDefault="00381559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1EAC293" wp14:editId="49FED123">
              <wp:simplePos x="0" y="0"/>
              <wp:positionH relativeFrom="page">
                <wp:posOffset>6835140</wp:posOffset>
              </wp:positionH>
              <wp:positionV relativeFrom="page">
                <wp:posOffset>9937115</wp:posOffset>
              </wp:positionV>
              <wp:extent cx="121920" cy="165735"/>
              <wp:effectExtent l="0" t="254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76150" w14:textId="1D0A6A69" w:rsidR="005E2578" w:rsidRDefault="005E2578">
                          <w:pPr>
                            <w:spacing w:line="240" w:lineRule="exact"/>
                            <w:ind w:left="40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6AFA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2"/>
                              <w:szCs w:val="22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2pt;margin-top:782.45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" filled="f" stroked="f">
              <v:textbox inset="0,0,0,0">
                <w:txbxContent>
                  <w:p w14:paraId="36376150" w14:textId="1D0A6A69" w:rsidR="005E2578" w:rsidRDefault="005E2578">
                    <w:pPr>
                      <w:spacing w:line="240" w:lineRule="exact"/>
                      <w:ind w:left="40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6AFA">
                      <w:rPr>
                        <w:rFonts w:ascii="Calibri" w:eastAsia="Calibri" w:hAnsi="Calibri" w:cs="Calibri"/>
                        <w:noProof/>
                        <w:position w:val="1"/>
                        <w:sz w:val="22"/>
                        <w:szCs w:val="22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8A5B0" w14:textId="77777777" w:rsidR="00F46696" w:rsidRDefault="00F46696">
      <w:r>
        <w:separator/>
      </w:r>
    </w:p>
  </w:footnote>
  <w:footnote w:type="continuationSeparator" w:id="0">
    <w:p w14:paraId="5D7117AE" w14:textId="77777777" w:rsidR="00F46696" w:rsidRDefault="00F46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7B43"/>
    <w:multiLevelType w:val="hybridMultilevel"/>
    <w:tmpl w:val="3D1CD7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E62753"/>
    <w:multiLevelType w:val="hybridMultilevel"/>
    <w:tmpl w:val="C7ACB36C"/>
    <w:lvl w:ilvl="0" w:tplc="6136E4C6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>
    <w:nsid w:val="46056EDA"/>
    <w:multiLevelType w:val="hybridMultilevel"/>
    <w:tmpl w:val="72300A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F97E2E"/>
    <w:multiLevelType w:val="multilevel"/>
    <w:tmpl w:val="E3C8221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9EA7D1F"/>
    <w:multiLevelType w:val="hybridMultilevel"/>
    <w:tmpl w:val="38C099E6"/>
    <w:lvl w:ilvl="0" w:tplc="0402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5">
    <w:nsid w:val="75284174"/>
    <w:multiLevelType w:val="hybridMultilevel"/>
    <w:tmpl w:val="5CBE7738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1D3"/>
    <w:rsid w:val="00013069"/>
    <w:rsid w:val="0002750F"/>
    <w:rsid w:val="000334BC"/>
    <w:rsid w:val="000445E0"/>
    <w:rsid w:val="0004714D"/>
    <w:rsid w:val="000518C0"/>
    <w:rsid w:val="00062F9B"/>
    <w:rsid w:val="000865A3"/>
    <w:rsid w:val="000B265D"/>
    <w:rsid w:val="000C2D33"/>
    <w:rsid w:val="000E415F"/>
    <w:rsid w:val="001035DC"/>
    <w:rsid w:val="00117E99"/>
    <w:rsid w:val="00121C3E"/>
    <w:rsid w:val="00133D0C"/>
    <w:rsid w:val="00136AA2"/>
    <w:rsid w:val="00150E2E"/>
    <w:rsid w:val="001575D9"/>
    <w:rsid w:val="001640F9"/>
    <w:rsid w:val="00164AA7"/>
    <w:rsid w:val="0019337E"/>
    <w:rsid w:val="00197CF5"/>
    <w:rsid w:val="001B2F44"/>
    <w:rsid w:val="001C4D73"/>
    <w:rsid w:val="001C5954"/>
    <w:rsid w:val="001C5B1D"/>
    <w:rsid w:val="001D661C"/>
    <w:rsid w:val="001F0223"/>
    <w:rsid w:val="001F4090"/>
    <w:rsid w:val="002118A4"/>
    <w:rsid w:val="0022361C"/>
    <w:rsid w:val="002307D8"/>
    <w:rsid w:val="002570EB"/>
    <w:rsid w:val="00260BDC"/>
    <w:rsid w:val="00261795"/>
    <w:rsid w:val="00261CA5"/>
    <w:rsid w:val="0026373F"/>
    <w:rsid w:val="0027051D"/>
    <w:rsid w:val="00285114"/>
    <w:rsid w:val="002905D6"/>
    <w:rsid w:val="002A0435"/>
    <w:rsid w:val="002A2D26"/>
    <w:rsid w:val="002D3D5A"/>
    <w:rsid w:val="002E47A0"/>
    <w:rsid w:val="002F31B0"/>
    <w:rsid w:val="002F3757"/>
    <w:rsid w:val="003213FF"/>
    <w:rsid w:val="003272F7"/>
    <w:rsid w:val="00381559"/>
    <w:rsid w:val="00390DE4"/>
    <w:rsid w:val="003B0B1C"/>
    <w:rsid w:val="003C3C70"/>
    <w:rsid w:val="003D46FC"/>
    <w:rsid w:val="00406D34"/>
    <w:rsid w:val="004164A3"/>
    <w:rsid w:val="004257A2"/>
    <w:rsid w:val="00462D08"/>
    <w:rsid w:val="00497867"/>
    <w:rsid w:val="004A169F"/>
    <w:rsid w:val="004A352A"/>
    <w:rsid w:val="004B0DBA"/>
    <w:rsid w:val="004B509D"/>
    <w:rsid w:val="004C0FA9"/>
    <w:rsid w:val="004D5B57"/>
    <w:rsid w:val="004D5EAB"/>
    <w:rsid w:val="00505A17"/>
    <w:rsid w:val="005232C0"/>
    <w:rsid w:val="005254A7"/>
    <w:rsid w:val="00551571"/>
    <w:rsid w:val="005545B6"/>
    <w:rsid w:val="0056751E"/>
    <w:rsid w:val="00576301"/>
    <w:rsid w:val="00590A10"/>
    <w:rsid w:val="005969ED"/>
    <w:rsid w:val="005A47A7"/>
    <w:rsid w:val="005B5E41"/>
    <w:rsid w:val="005C4F95"/>
    <w:rsid w:val="005D13BA"/>
    <w:rsid w:val="005E2578"/>
    <w:rsid w:val="005F3959"/>
    <w:rsid w:val="0061313F"/>
    <w:rsid w:val="00661DE9"/>
    <w:rsid w:val="00665DFF"/>
    <w:rsid w:val="00673DFA"/>
    <w:rsid w:val="0067400C"/>
    <w:rsid w:val="006749E2"/>
    <w:rsid w:val="00686452"/>
    <w:rsid w:val="006956B0"/>
    <w:rsid w:val="006D0E97"/>
    <w:rsid w:val="006D4515"/>
    <w:rsid w:val="006E3A2C"/>
    <w:rsid w:val="007143D8"/>
    <w:rsid w:val="00726702"/>
    <w:rsid w:val="00727E45"/>
    <w:rsid w:val="00753AF7"/>
    <w:rsid w:val="00754CB0"/>
    <w:rsid w:val="00755C82"/>
    <w:rsid w:val="0076101F"/>
    <w:rsid w:val="007A15D9"/>
    <w:rsid w:val="007A2C25"/>
    <w:rsid w:val="007B0722"/>
    <w:rsid w:val="007B0C05"/>
    <w:rsid w:val="007B4334"/>
    <w:rsid w:val="007D222E"/>
    <w:rsid w:val="007D6BCD"/>
    <w:rsid w:val="007F3A86"/>
    <w:rsid w:val="00823B5E"/>
    <w:rsid w:val="00856BC9"/>
    <w:rsid w:val="00867023"/>
    <w:rsid w:val="008708F0"/>
    <w:rsid w:val="008C25EA"/>
    <w:rsid w:val="008F0D82"/>
    <w:rsid w:val="008F72E6"/>
    <w:rsid w:val="00932AFA"/>
    <w:rsid w:val="009364A4"/>
    <w:rsid w:val="00941789"/>
    <w:rsid w:val="00987CF8"/>
    <w:rsid w:val="009A3A82"/>
    <w:rsid w:val="009C0855"/>
    <w:rsid w:val="009C1E0E"/>
    <w:rsid w:val="009E528D"/>
    <w:rsid w:val="009E6E49"/>
    <w:rsid w:val="00A32293"/>
    <w:rsid w:val="00A5500E"/>
    <w:rsid w:val="00A67174"/>
    <w:rsid w:val="00A805BC"/>
    <w:rsid w:val="00A856E0"/>
    <w:rsid w:val="00A908C1"/>
    <w:rsid w:val="00A912D8"/>
    <w:rsid w:val="00AB391A"/>
    <w:rsid w:val="00AC6C1C"/>
    <w:rsid w:val="00B51DC6"/>
    <w:rsid w:val="00B529A3"/>
    <w:rsid w:val="00B72FC6"/>
    <w:rsid w:val="00B876A9"/>
    <w:rsid w:val="00BA00F8"/>
    <w:rsid w:val="00BA468B"/>
    <w:rsid w:val="00BB71A3"/>
    <w:rsid w:val="00BC5716"/>
    <w:rsid w:val="00BD0B72"/>
    <w:rsid w:val="00BD2F85"/>
    <w:rsid w:val="00C12115"/>
    <w:rsid w:val="00C26426"/>
    <w:rsid w:val="00C27153"/>
    <w:rsid w:val="00C27F1F"/>
    <w:rsid w:val="00C326E1"/>
    <w:rsid w:val="00C47D71"/>
    <w:rsid w:val="00C713C2"/>
    <w:rsid w:val="00C9421E"/>
    <w:rsid w:val="00CB0F72"/>
    <w:rsid w:val="00CD0FD2"/>
    <w:rsid w:val="00CF541B"/>
    <w:rsid w:val="00D345E9"/>
    <w:rsid w:val="00D601F0"/>
    <w:rsid w:val="00D726E4"/>
    <w:rsid w:val="00D76AFA"/>
    <w:rsid w:val="00D80FE5"/>
    <w:rsid w:val="00D81A84"/>
    <w:rsid w:val="00D85289"/>
    <w:rsid w:val="00DB5E7C"/>
    <w:rsid w:val="00DB7DA0"/>
    <w:rsid w:val="00DD1CE0"/>
    <w:rsid w:val="00DD325B"/>
    <w:rsid w:val="00DD6217"/>
    <w:rsid w:val="00DE105C"/>
    <w:rsid w:val="00DE4E88"/>
    <w:rsid w:val="00E0360E"/>
    <w:rsid w:val="00E04DBD"/>
    <w:rsid w:val="00E06838"/>
    <w:rsid w:val="00E2140F"/>
    <w:rsid w:val="00E26113"/>
    <w:rsid w:val="00E802E4"/>
    <w:rsid w:val="00EA1569"/>
    <w:rsid w:val="00ED0406"/>
    <w:rsid w:val="00ED4DE7"/>
    <w:rsid w:val="00EE64A3"/>
    <w:rsid w:val="00F12B7A"/>
    <w:rsid w:val="00F37EB2"/>
    <w:rsid w:val="00F40FE3"/>
    <w:rsid w:val="00F46696"/>
    <w:rsid w:val="00F61184"/>
    <w:rsid w:val="00F811D3"/>
    <w:rsid w:val="00FC6675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FE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3959"/>
    <w:pPr>
      <w:ind w:left="720"/>
      <w:contextualSpacing/>
    </w:pPr>
  </w:style>
  <w:style w:type="table" w:styleId="TableGrid">
    <w:name w:val="Table Grid"/>
    <w:basedOn w:val="TableNormal"/>
    <w:uiPriority w:val="59"/>
    <w:rsid w:val="00D80F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3A2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A2C"/>
  </w:style>
  <w:style w:type="character" w:styleId="FootnoteReference">
    <w:name w:val="footnote reference"/>
    <w:basedOn w:val="DefaultParagraphFont"/>
    <w:uiPriority w:val="99"/>
    <w:semiHidden/>
    <w:unhideWhenUsed/>
    <w:rsid w:val="006E3A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5B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67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75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75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75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751E"/>
    <w:rPr>
      <w:b/>
      <w:bCs/>
    </w:rPr>
  </w:style>
  <w:style w:type="paragraph" w:styleId="Revision">
    <w:name w:val="Revision"/>
    <w:hidden/>
    <w:uiPriority w:val="99"/>
    <w:semiHidden/>
    <w:rsid w:val="00DD325B"/>
  </w:style>
  <w:style w:type="character" w:styleId="FollowedHyperlink">
    <w:name w:val="FollowedHyperlink"/>
    <w:basedOn w:val="DefaultParagraphFont"/>
    <w:uiPriority w:val="99"/>
    <w:semiHidden/>
    <w:unhideWhenUsed/>
    <w:rsid w:val="00D601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3959"/>
    <w:pPr>
      <w:ind w:left="720"/>
      <w:contextualSpacing/>
    </w:pPr>
  </w:style>
  <w:style w:type="table" w:styleId="TableGrid">
    <w:name w:val="Table Grid"/>
    <w:basedOn w:val="TableNormal"/>
    <w:uiPriority w:val="59"/>
    <w:rsid w:val="00D80F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3A2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A2C"/>
  </w:style>
  <w:style w:type="character" w:styleId="FootnoteReference">
    <w:name w:val="footnote reference"/>
    <w:basedOn w:val="DefaultParagraphFont"/>
    <w:uiPriority w:val="99"/>
    <w:semiHidden/>
    <w:unhideWhenUsed/>
    <w:rsid w:val="006E3A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5B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67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75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75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75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751E"/>
    <w:rPr>
      <w:b/>
      <w:bCs/>
    </w:rPr>
  </w:style>
  <w:style w:type="paragraph" w:styleId="Revision">
    <w:name w:val="Revision"/>
    <w:hidden/>
    <w:uiPriority w:val="99"/>
    <w:semiHidden/>
    <w:rsid w:val="00DD325B"/>
  </w:style>
  <w:style w:type="character" w:styleId="FollowedHyperlink">
    <w:name w:val="FollowedHyperlink"/>
    <w:basedOn w:val="DefaultParagraphFont"/>
    <w:uiPriority w:val="99"/>
    <w:semiHidden/>
    <w:unhideWhenUsed/>
    <w:rsid w:val="00D601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A05D9-D5DF-4701-A2D4-76FFBC494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1506</Words>
  <Characters>8586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АА</cp:lastModifiedBy>
  <cp:revision>3</cp:revision>
  <cp:lastPrinted>2019-03-22T09:31:00Z</cp:lastPrinted>
  <dcterms:created xsi:type="dcterms:W3CDTF">2025-05-28T10:53:00Z</dcterms:created>
  <dcterms:modified xsi:type="dcterms:W3CDTF">2025-05-28T11:40:00Z</dcterms:modified>
</cp:coreProperties>
</file>